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8ED4E" w14:textId="393CDF48" w:rsidR="00530DB5" w:rsidRDefault="00530DB5" w:rsidP="00530DB5">
      <w:pPr>
        <w:pStyle w:val="NormalWeb"/>
        <w:spacing w:before="0" w:beforeAutospacing="0" w:after="120" w:afterAutospacing="0"/>
        <w:rPr>
          <w:rFonts w:asciiTheme="majorHAnsi" w:hAnsiTheme="majorHAnsi" w:cstheme="majorHAnsi"/>
          <w:b/>
          <w:bCs/>
          <w:color w:val="4F062A" w:themeColor="text1"/>
          <w:kern w:val="28"/>
          <w:sz w:val="26"/>
          <w:szCs w:val="26"/>
          <w:lang w:val="es-ES" w:eastAsia="en-US"/>
        </w:rPr>
      </w:pPr>
      <w:bookmarkStart w:id="0" w:name="_Hlk181687409"/>
      <w:r w:rsidRPr="00530DB5">
        <w:rPr>
          <w:rFonts w:asciiTheme="majorHAnsi" w:hAnsiTheme="majorHAnsi" w:cstheme="majorHAnsi"/>
          <w:b/>
          <w:bCs/>
          <w:color w:val="4F062A" w:themeColor="text1"/>
          <w:kern w:val="28"/>
          <w:sz w:val="26"/>
          <w:szCs w:val="26"/>
          <w:lang w:val="es-ES" w:eastAsia="en-US"/>
        </w:rPr>
        <w:t>Exportación de servicios TI:</w:t>
      </w:r>
      <w:r w:rsidRPr="00530DB5">
        <w:rPr>
          <w:rFonts w:asciiTheme="majorHAnsi" w:hAnsiTheme="majorHAnsi" w:cstheme="majorHAnsi"/>
          <w:b/>
          <w:bCs/>
          <w:color w:val="4F062A" w:themeColor="text1"/>
          <w:kern w:val="28"/>
          <w:sz w:val="26"/>
          <w:szCs w:val="26"/>
          <w:lang w:val="es-ES" w:eastAsia="en-US"/>
        </w:rPr>
        <w:br/>
        <w:t>P</w:t>
      </w:r>
      <w:r>
        <w:rPr>
          <w:rFonts w:asciiTheme="majorHAnsi" w:hAnsiTheme="majorHAnsi" w:cstheme="majorHAnsi"/>
          <w:b/>
          <w:bCs/>
          <w:color w:val="4F062A" w:themeColor="text1"/>
          <w:kern w:val="28"/>
          <w:sz w:val="26"/>
          <w:szCs w:val="26"/>
          <w:lang w:val="es-ES" w:eastAsia="en-US"/>
        </w:rPr>
        <w:t xml:space="preserve">OTENCIAL DE MÉXICO COMO HUB TECNOLÓGICO DE ALTO VALOR </w:t>
      </w:r>
    </w:p>
    <w:p w14:paraId="42F8A360" w14:textId="42B59472" w:rsidR="00B66F00" w:rsidRPr="009D5BFC" w:rsidRDefault="00B66F00" w:rsidP="00530DB5">
      <w:pPr>
        <w:pBdr>
          <w:top w:val="nil"/>
          <w:left w:val="nil"/>
          <w:bottom w:val="nil"/>
          <w:right w:val="nil"/>
          <w:between w:val="nil"/>
        </w:pBdr>
        <w:spacing w:before="0" w:after="0"/>
        <w:ind w:right="282"/>
        <w:rPr>
          <w:rFonts w:ascii="Arial" w:eastAsia="Arial" w:hAnsi="Arial" w:cs="Arial"/>
          <w:b/>
          <w:i/>
          <w:color w:val="4F062A"/>
          <w:kern w:val="0"/>
          <w:sz w:val="24"/>
          <w:szCs w:val="20"/>
          <w:lang w:val="es-CO" w:eastAsia="es-CO"/>
        </w:rPr>
      </w:pPr>
    </w:p>
    <w:p w14:paraId="2A32660D" w14:textId="464F8FBE" w:rsidR="00530DB5" w:rsidRPr="009D5BFC" w:rsidRDefault="00B66F00" w:rsidP="00530DB5">
      <w:pPr>
        <w:pStyle w:val="NormalWeb"/>
        <w:spacing w:before="0" w:beforeAutospacing="0" w:after="120" w:afterAutospacing="0"/>
        <w:rPr>
          <w:rFonts w:ascii="Arial" w:eastAsia="Arial" w:hAnsi="Arial" w:cs="Arial"/>
          <w:b/>
          <w:i/>
          <w:color w:val="4F062A"/>
          <w:szCs w:val="20"/>
        </w:rPr>
      </w:pPr>
      <w:r w:rsidRPr="009D5BFC">
        <w:rPr>
          <w:rFonts w:ascii="Arial" w:eastAsia="Arial" w:hAnsi="Arial" w:cs="Arial"/>
          <w:b/>
          <w:i/>
          <w:color w:val="4F062A"/>
          <w:szCs w:val="20"/>
        </w:rPr>
        <w:t>Por</w:t>
      </w:r>
      <w:r w:rsidR="00C80060" w:rsidRPr="009D5BFC">
        <w:rPr>
          <w:rFonts w:ascii="Arial" w:eastAsia="Arial" w:hAnsi="Arial" w:cs="Arial"/>
          <w:b/>
          <w:i/>
          <w:color w:val="4F062A"/>
          <w:szCs w:val="20"/>
        </w:rPr>
        <w:t>:</w:t>
      </w:r>
      <w:r w:rsidRPr="009D5BFC">
        <w:rPr>
          <w:rFonts w:ascii="Arial" w:eastAsia="Arial" w:hAnsi="Arial" w:cs="Arial"/>
          <w:b/>
          <w:i/>
          <w:color w:val="4F062A"/>
          <w:szCs w:val="20"/>
        </w:rPr>
        <w:t xml:space="preserve"> </w:t>
      </w:r>
      <w:r w:rsidR="00530DB5" w:rsidRPr="009D5BFC">
        <w:rPr>
          <w:rFonts w:ascii="Arial" w:eastAsia="Arial" w:hAnsi="Arial" w:cs="Arial"/>
          <w:b/>
          <w:i/>
          <w:color w:val="4F062A"/>
          <w:szCs w:val="20"/>
        </w:rPr>
        <w:t xml:space="preserve">Rodrigo Mendoza, </w:t>
      </w:r>
      <w:r w:rsidR="00833D9E">
        <w:rPr>
          <w:rFonts w:ascii="Arial" w:eastAsia="Arial" w:hAnsi="Arial" w:cs="Arial"/>
          <w:b/>
          <w:i/>
          <w:color w:val="4F062A"/>
          <w:sz w:val="22"/>
          <w:szCs w:val="22"/>
        </w:rPr>
        <w:t xml:space="preserve">Director de Estrategia y Desarrollo Internacional- </w:t>
      </w:r>
      <w:r w:rsidR="009D5BFC">
        <w:rPr>
          <w:rFonts w:ascii="Arial" w:eastAsia="Arial" w:hAnsi="Arial" w:cs="Arial"/>
          <w:b/>
          <w:i/>
          <w:color w:val="4F062A"/>
          <w:szCs w:val="20"/>
        </w:rPr>
        <w:t xml:space="preserve"> de Minsait en México</w:t>
      </w:r>
    </w:p>
    <w:p w14:paraId="36C7268D" w14:textId="35FC46BC" w:rsidR="007036E5" w:rsidRPr="00B66F00" w:rsidRDefault="007036E5" w:rsidP="00530DB5">
      <w:pPr>
        <w:pStyle w:val="ListParagraph"/>
        <w:pBdr>
          <w:top w:val="nil"/>
          <w:left w:val="nil"/>
          <w:bottom w:val="nil"/>
          <w:right w:val="nil"/>
          <w:between w:val="nil"/>
        </w:pBdr>
        <w:spacing w:before="0" w:after="0"/>
        <w:ind w:left="709" w:right="282"/>
        <w:rPr>
          <w:rFonts w:ascii="Arial" w:hAnsi="Arial" w:cs="Arial"/>
          <w:b/>
          <w:bCs/>
          <w:noProof/>
          <w:szCs w:val="20"/>
        </w:rPr>
      </w:pPr>
    </w:p>
    <w:p w14:paraId="117B674B" w14:textId="77777777" w:rsidR="00B66F00" w:rsidRDefault="00B66F00" w:rsidP="00C80060">
      <w:pPr>
        <w:pStyle w:val="ListParagraph"/>
        <w:pBdr>
          <w:top w:val="nil"/>
          <w:left w:val="nil"/>
          <w:bottom w:val="nil"/>
          <w:right w:val="nil"/>
          <w:between w:val="nil"/>
        </w:pBdr>
        <w:spacing w:before="0" w:after="0"/>
        <w:ind w:left="709" w:right="282"/>
        <w:rPr>
          <w:rFonts w:ascii="Arial" w:hAnsi="Arial" w:cs="Arial"/>
          <w:b/>
          <w:bCs/>
          <w:noProof/>
          <w:szCs w:val="20"/>
        </w:rPr>
      </w:pPr>
    </w:p>
    <w:bookmarkEnd w:id="0"/>
    <w:p w14:paraId="20053444" w14:textId="03E0A119"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México</w:t>
      </w:r>
      <w:r w:rsidR="003C7542">
        <w:rPr>
          <w:rFonts w:ascii="Arial" w:hAnsi="Arial" w:cs="Arial"/>
          <w:color w:val="4F062A" w:themeColor="text1"/>
          <w:kern w:val="28"/>
          <w:sz w:val="20"/>
          <w:lang w:val="es-ES" w:eastAsia="en-US"/>
        </w:rPr>
        <w:t xml:space="preserve"> tiene </w:t>
      </w:r>
      <w:r w:rsidR="00974592">
        <w:rPr>
          <w:rFonts w:ascii="Arial" w:hAnsi="Arial" w:cs="Arial"/>
          <w:color w:val="4F062A" w:themeColor="text1"/>
          <w:kern w:val="28"/>
          <w:sz w:val="20"/>
          <w:lang w:val="es-ES" w:eastAsia="en-US"/>
        </w:rPr>
        <w:t>las condiciones y la capacidad de convertirse en una potencia exportadora</w:t>
      </w:r>
      <w:r w:rsidR="00477CB2">
        <w:rPr>
          <w:rFonts w:ascii="Arial" w:hAnsi="Arial" w:cs="Arial"/>
          <w:color w:val="4F062A" w:themeColor="text1"/>
          <w:kern w:val="28"/>
          <w:sz w:val="20"/>
          <w:lang w:val="es-ES" w:eastAsia="en-US"/>
        </w:rPr>
        <w:t xml:space="preserve"> de talento</w:t>
      </w:r>
      <w:r w:rsidR="00974592">
        <w:rPr>
          <w:rFonts w:ascii="Arial" w:hAnsi="Arial" w:cs="Arial"/>
          <w:color w:val="4F062A" w:themeColor="text1"/>
          <w:kern w:val="28"/>
          <w:sz w:val="20"/>
          <w:lang w:val="es-ES" w:eastAsia="en-US"/>
        </w:rPr>
        <w:t xml:space="preserve">. Junto a </w:t>
      </w:r>
      <w:r w:rsidR="006A1A82">
        <w:rPr>
          <w:rFonts w:ascii="Arial" w:hAnsi="Arial" w:cs="Arial"/>
          <w:color w:val="4F062A" w:themeColor="text1"/>
          <w:kern w:val="28"/>
          <w:sz w:val="20"/>
          <w:lang w:val="es-ES" w:eastAsia="en-US"/>
        </w:rPr>
        <w:t xml:space="preserve">la gran oportunidad que tiene hoy el país en áreas de excelencia como </w:t>
      </w:r>
      <w:r w:rsidRPr="002908A8">
        <w:rPr>
          <w:rFonts w:ascii="Arial" w:hAnsi="Arial" w:cs="Arial"/>
          <w:color w:val="4F062A" w:themeColor="text1"/>
          <w:kern w:val="28"/>
          <w:sz w:val="20"/>
          <w:lang w:val="es-ES" w:eastAsia="en-US"/>
        </w:rPr>
        <w:t xml:space="preserve">las cadenas productivas de la manufactura, resulta casi ineludible hablar de otras áreas estratégicas que, a partir de una oferta de alto valor agregado, pueden </w:t>
      </w:r>
      <w:r w:rsidR="00356DFE">
        <w:rPr>
          <w:rFonts w:ascii="Arial" w:hAnsi="Arial" w:cs="Arial"/>
          <w:color w:val="4F062A" w:themeColor="text1"/>
          <w:kern w:val="28"/>
          <w:sz w:val="20"/>
          <w:lang w:val="es-ES" w:eastAsia="en-US"/>
        </w:rPr>
        <w:t>impulsar la</w:t>
      </w:r>
      <w:r w:rsidR="001F3DA3">
        <w:rPr>
          <w:rFonts w:ascii="Arial" w:hAnsi="Arial" w:cs="Arial"/>
          <w:color w:val="4F062A" w:themeColor="text1"/>
          <w:kern w:val="28"/>
          <w:sz w:val="20"/>
          <w:lang w:val="es-ES" w:eastAsia="en-US"/>
        </w:rPr>
        <w:t xml:space="preserve"> exportación del talento y de las capacidades locales a mercados internacionales</w:t>
      </w:r>
      <w:r w:rsidRPr="002908A8">
        <w:rPr>
          <w:rFonts w:ascii="Arial" w:hAnsi="Arial" w:cs="Arial"/>
          <w:color w:val="4F062A" w:themeColor="text1"/>
          <w:kern w:val="28"/>
          <w:sz w:val="20"/>
          <w:lang w:val="es-ES" w:eastAsia="en-US"/>
        </w:rPr>
        <w:t xml:space="preserve">. </w:t>
      </w:r>
      <w:r w:rsidR="00100B6E">
        <w:rPr>
          <w:rFonts w:ascii="Arial" w:hAnsi="Arial" w:cs="Arial"/>
          <w:color w:val="4F062A" w:themeColor="text1"/>
          <w:kern w:val="28"/>
          <w:sz w:val="20"/>
          <w:lang w:val="es-ES" w:eastAsia="en-US"/>
        </w:rPr>
        <w:t xml:space="preserve">Incluso sin </w:t>
      </w:r>
      <w:r w:rsidR="00320688">
        <w:rPr>
          <w:rFonts w:ascii="Arial" w:hAnsi="Arial" w:cs="Arial"/>
          <w:color w:val="4F062A" w:themeColor="text1"/>
          <w:kern w:val="28"/>
          <w:sz w:val="20"/>
          <w:lang w:val="es-ES" w:eastAsia="en-US"/>
        </w:rPr>
        <w:t xml:space="preserve">que nuestro talento </w:t>
      </w:r>
      <w:r w:rsidR="00DA2367">
        <w:rPr>
          <w:rFonts w:ascii="Arial" w:hAnsi="Arial" w:cs="Arial"/>
          <w:color w:val="4F062A" w:themeColor="text1"/>
          <w:kern w:val="28"/>
          <w:sz w:val="20"/>
          <w:lang w:val="es-ES" w:eastAsia="en-US"/>
        </w:rPr>
        <w:t>salga de nuestras fronteras</w:t>
      </w:r>
      <w:r w:rsidR="006F1C37">
        <w:rPr>
          <w:rFonts w:ascii="Arial" w:hAnsi="Arial" w:cs="Arial"/>
          <w:color w:val="4F062A" w:themeColor="text1"/>
          <w:kern w:val="28"/>
          <w:sz w:val="20"/>
          <w:lang w:val="es-ES" w:eastAsia="en-US"/>
        </w:rPr>
        <w:t xml:space="preserve">. </w:t>
      </w:r>
    </w:p>
    <w:p w14:paraId="02B2D67F" w14:textId="5B90E870"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Uno de estos polos potenciales de </w:t>
      </w:r>
      <w:r w:rsidR="003B41FA">
        <w:rPr>
          <w:rFonts w:ascii="Arial" w:hAnsi="Arial" w:cs="Arial"/>
          <w:color w:val="4F062A" w:themeColor="text1"/>
          <w:kern w:val="28"/>
          <w:sz w:val="20"/>
          <w:lang w:val="es-ES" w:eastAsia="en-US"/>
        </w:rPr>
        <w:t>desarrollo internacional de capacidades locales</w:t>
      </w:r>
      <w:r w:rsidR="003B41FA" w:rsidRPr="002908A8">
        <w:rPr>
          <w:rFonts w:ascii="Arial" w:hAnsi="Arial" w:cs="Arial"/>
          <w:color w:val="4F062A" w:themeColor="text1"/>
          <w:kern w:val="28"/>
          <w:sz w:val="20"/>
          <w:lang w:val="es-ES" w:eastAsia="en-US"/>
        </w:rPr>
        <w:t xml:space="preserve"> </w:t>
      </w:r>
      <w:r w:rsidRPr="002908A8">
        <w:rPr>
          <w:rFonts w:ascii="Arial" w:hAnsi="Arial" w:cs="Arial"/>
          <w:color w:val="4F062A" w:themeColor="text1"/>
          <w:kern w:val="28"/>
          <w:sz w:val="20"/>
          <w:lang w:val="es-ES" w:eastAsia="en-US"/>
        </w:rPr>
        <w:t>orientados al mercado estadounidense es el de servicios de tecnología de la información (TI). En 2023, las exportaciones de servicios comerciales mexicanas, que incluyen el sector TI, aumentaron 9 %, rondando en los 52,000 millones de dólares, como consecuencia de un crecimiento sostenido en los últimos años.</w:t>
      </w:r>
    </w:p>
    <w:p w14:paraId="21DB65AF"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México ha logrado captar la atención de compañías estadounidenses no solo por su ubicación geográfica o sus costos relativos, sino por la posibilidad de proveer servicios especializados en infraestructura tecnológica, desarrollo de software, análisis de datos, inteligencia artificial y soporte para sistemas y aplicaciones. </w:t>
      </w:r>
    </w:p>
    <w:p w14:paraId="78D8B01B"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A diferencia de las plataformas industriales, cuya ventaja comparativa radica en la producción de bienes, los servicios de TI implican una cadena de valor estructural distinta, basada en el conocimiento, la integración tecnológica y el cumplimiento de estándares globales.</w:t>
      </w:r>
    </w:p>
    <w:p w14:paraId="2BE9023B"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La adopción de un modelo híbrido, que combina talento tecnológico en México con especialistas de negocio en Estados Unidos, ha permitido estructurar soluciones que responden a los requerimientos normativos y funcionales del mercado financiero norteamericano. </w:t>
      </w:r>
    </w:p>
    <w:p w14:paraId="2507662E"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Casos como el desarrollo de plataformas de </w:t>
      </w:r>
      <w:proofErr w:type="spellStart"/>
      <w:r w:rsidRPr="002908A8">
        <w:rPr>
          <w:rFonts w:ascii="Arial" w:hAnsi="Arial" w:cs="Arial"/>
          <w:color w:val="4F062A" w:themeColor="text1"/>
          <w:kern w:val="28"/>
          <w:sz w:val="20"/>
          <w:lang w:val="es-ES" w:eastAsia="en-US"/>
        </w:rPr>
        <w:t>onboarding</w:t>
      </w:r>
      <w:proofErr w:type="spellEnd"/>
      <w:r w:rsidRPr="002908A8">
        <w:rPr>
          <w:rFonts w:ascii="Arial" w:hAnsi="Arial" w:cs="Arial"/>
          <w:color w:val="4F062A" w:themeColor="text1"/>
          <w:kern w:val="28"/>
          <w:sz w:val="20"/>
          <w:lang w:val="es-ES" w:eastAsia="en-US"/>
        </w:rPr>
        <w:t xml:space="preserve"> digital para instituciones bancarias o la implementación de sistemas de gobierno del dato para aseguradoras evidencian que no se trata de externalización operativa, sino de integración de capacidades entre países con alta interdependencia digital.</w:t>
      </w:r>
    </w:p>
    <w:p w14:paraId="27E7B6E6"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p>
    <w:p w14:paraId="7F605444"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Oportunidades evidentes</w:t>
      </w:r>
    </w:p>
    <w:p w14:paraId="2D8DB62E"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En los últimos cinco años, la demanda de talento en tecnologías de información en Estados Unidos ha crecido más rápido que la tasa de graduación de ingenieros en sistemas. Un estudio del Computing </w:t>
      </w:r>
      <w:proofErr w:type="spellStart"/>
      <w:r w:rsidRPr="002908A8">
        <w:rPr>
          <w:rFonts w:ascii="Arial" w:hAnsi="Arial" w:cs="Arial"/>
          <w:color w:val="4F062A" w:themeColor="text1"/>
          <w:kern w:val="28"/>
          <w:sz w:val="20"/>
          <w:lang w:val="es-ES" w:eastAsia="en-US"/>
        </w:rPr>
        <w:t>Technology</w:t>
      </w:r>
      <w:proofErr w:type="spellEnd"/>
      <w:r w:rsidRPr="002908A8">
        <w:rPr>
          <w:rFonts w:ascii="Arial" w:hAnsi="Arial" w:cs="Arial"/>
          <w:color w:val="4F062A" w:themeColor="text1"/>
          <w:kern w:val="28"/>
          <w:sz w:val="20"/>
          <w:lang w:val="es-ES" w:eastAsia="en-US"/>
        </w:rPr>
        <w:t xml:space="preserve"> </w:t>
      </w:r>
      <w:proofErr w:type="spellStart"/>
      <w:r w:rsidRPr="002908A8">
        <w:rPr>
          <w:rFonts w:ascii="Arial" w:hAnsi="Arial" w:cs="Arial"/>
          <w:color w:val="4F062A" w:themeColor="text1"/>
          <w:kern w:val="28"/>
          <w:sz w:val="20"/>
          <w:lang w:val="es-ES" w:eastAsia="en-US"/>
        </w:rPr>
        <w:t>Industry</w:t>
      </w:r>
      <w:proofErr w:type="spellEnd"/>
      <w:r w:rsidRPr="002908A8">
        <w:rPr>
          <w:rFonts w:ascii="Arial" w:hAnsi="Arial" w:cs="Arial"/>
          <w:color w:val="4F062A" w:themeColor="text1"/>
          <w:kern w:val="28"/>
          <w:sz w:val="20"/>
          <w:lang w:val="es-ES" w:eastAsia="en-US"/>
        </w:rPr>
        <w:t xml:space="preserve"> </w:t>
      </w:r>
      <w:proofErr w:type="spellStart"/>
      <w:r w:rsidRPr="002908A8">
        <w:rPr>
          <w:rFonts w:ascii="Arial" w:hAnsi="Arial" w:cs="Arial"/>
          <w:color w:val="4F062A" w:themeColor="text1"/>
          <w:kern w:val="28"/>
          <w:sz w:val="20"/>
          <w:lang w:val="es-ES" w:eastAsia="en-US"/>
        </w:rPr>
        <w:t>Association</w:t>
      </w:r>
      <w:proofErr w:type="spellEnd"/>
      <w:r w:rsidRPr="002908A8">
        <w:rPr>
          <w:rFonts w:ascii="Arial" w:hAnsi="Arial" w:cs="Arial"/>
          <w:color w:val="4F062A" w:themeColor="text1"/>
          <w:kern w:val="28"/>
          <w:sz w:val="20"/>
          <w:lang w:val="es-ES" w:eastAsia="en-US"/>
        </w:rPr>
        <w:t xml:space="preserve"> (</w:t>
      </w:r>
      <w:proofErr w:type="spellStart"/>
      <w:r w:rsidRPr="002908A8">
        <w:rPr>
          <w:rFonts w:ascii="Arial" w:hAnsi="Arial" w:cs="Arial"/>
          <w:color w:val="4F062A" w:themeColor="text1"/>
          <w:kern w:val="28"/>
          <w:sz w:val="20"/>
          <w:lang w:val="es-ES" w:eastAsia="en-US"/>
        </w:rPr>
        <w:t>CompTIA</w:t>
      </w:r>
      <w:proofErr w:type="spellEnd"/>
      <w:r w:rsidRPr="002908A8">
        <w:rPr>
          <w:rFonts w:ascii="Arial" w:hAnsi="Arial" w:cs="Arial"/>
          <w:color w:val="4F062A" w:themeColor="text1"/>
          <w:kern w:val="28"/>
          <w:sz w:val="20"/>
          <w:lang w:val="es-ES" w:eastAsia="en-US"/>
        </w:rPr>
        <w:t>) estima que, cada año, el mercado estadounidense genera un déficit cercano al 70 % de los perfiles requeridos para cubrir su demanda en desarrollo de software, arquitectura de datos y seguridad informática.</w:t>
      </w:r>
    </w:p>
    <w:p w14:paraId="3092D7C1"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Este vacío ha propiciado que las empresas busquen proveedores de servicios TI en países con una base educativa sólida, compatibilidad horaria, y una cultura empresarial alineada. México, por cercanía y capacidad instalada, se presenta como un destino viable para suplir esa demanda.</w:t>
      </w:r>
    </w:p>
    <w:p w14:paraId="0C6BE72D"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De acuerdo con el informe </w:t>
      </w:r>
      <w:r w:rsidRPr="002908A8">
        <w:rPr>
          <w:rFonts w:ascii="Arial" w:hAnsi="Arial" w:cs="Arial"/>
          <w:i/>
          <w:iCs/>
          <w:color w:val="4F062A" w:themeColor="text1"/>
          <w:kern w:val="28"/>
          <w:sz w:val="20"/>
          <w:lang w:val="es-ES" w:eastAsia="en-US"/>
        </w:rPr>
        <w:t xml:space="preserve">Digital </w:t>
      </w:r>
      <w:proofErr w:type="spellStart"/>
      <w:r w:rsidRPr="002908A8">
        <w:rPr>
          <w:rFonts w:ascii="Arial" w:hAnsi="Arial" w:cs="Arial"/>
          <w:i/>
          <w:iCs/>
          <w:color w:val="4F062A" w:themeColor="text1"/>
          <w:kern w:val="28"/>
          <w:sz w:val="20"/>
          <w:lang w:val="es-ES" w:eastAsia="en-US"/>
        </w:rPr>
        <w:t>Economy</w:t>
      </w:r>
      <w:proofErr w:type="spellEnd"/>
      <w:r w:rsidRPr="002908A8">
        <w:rPr>
          <w:rFonts w:ascii="Arial" w:hAnsi="Arial" w:cs="Arial"/>
          <w:i/>
          <w:iCs/>
          <w:color w:val="4F062A" w:themeColor="text1"/>
          <w:kern w:val="28"/>
          <w:sz w:val="20"/>
          <w:lang w:val="es-ES" w:eastAsia="en-US"/>
        </w:rPr>
        <w:t xml:space="preserve"> Outlook</w:t>
      </w:r>
      <w:r w:rsidRPr="002908A8">
        <w:rPr>
          <w:rFonts w:ascii="Arial" w:hAnsi="Arial" w:cs="Arial"/>
          <w:color w:val="4F062A" w:themeColor="text1"/>
          <w:kern w:val="28"/>
          <w:sz w:val="20"/>
          <w:lang w:val="es-ES" w:eastAsia="en-US"/>
        </w:rPr>
        <w:t xml:space="preserve"> de la OCDE, México es uno de los países con mayor crecimiento proyectado en servicios digitales exportables. La Encuesta Nacional de Ocupación y Empleo (ENOE) del INEGI también refleja un aumento progresivo de la participación del sector de tecnologías de información en el empleo formal, con más de 700,000 personas activas en la industria en 2023. Esto, sumado al crecimiento de clústeres tecnológicos en ciudades como Guadalajara, Monterrey y Querétaro, da forma a un ecosistema que no solo provee servicios, sino que los mejora en cada ciclo.</w:t>
      </w:r>
    </w:p>
    <w:p w14:paraId="22905795"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En términos de estructura de exportación, uno de cada tres profesionales de TI en México ya trabaja directa o indirectamente para empresas en el extranjero. De ese porcentaje, el 94% presta servicios a compañías en Estados Unidos. Estas cifras, obtenidas del estudio </w:t>
      </w:r>
      <w:r w:rsidRPr="002908A8">
        <w:rPr>
          <w:rFonts w:ascii="Arial" w:hAnsi="Arial" w:cs="Arial"/>
          <w:i/>
          <w:iCs/>
          <w:color w:val="4F062A" w:themeColor="text1"/>
          <w:kern w:val="28"/>
          <w:sz w:val="20"/>
          <w:lang w:val="es-ES" w:eastAsia="en-US"/>
        </w:rPr>
        <w:t xml:space="preserve">Global </w:t>
      </w:r>
      <w:proofErr w:type="spellStart"/>
      <w:r w:rsidRPr="002908A8">
        <w:rPr>
          <w:rFonts w:ascii="Arial" w:hAnsi="Arial" w:cs="Arial"/>
          <w:i/>
          <w:iCs/>
          <w:color w:val="4F062A" w:themeColor="text1"/>
          <w:kern w:val="28"/>
          <w:sz w:val="20"/>
          <w:lang w:val="es-ES" w:eastAsia="en-US"/>
        </w:rPr>
        <w:t>Services</w:t>
      </w:r>
      <w:proofErr w:type="spellEnd"/>
      <w:r w:rsidRPr="002908A8">
        <w:rPr>
          <w:rFonts w:ascii="Arial" w:hAnsi="Arial" w:cs="Arial"/>
          <w:i/>
          <w:iCs/>
          <w:color w:val="4F062A" w:themeColor="text1"/>
          <w:kern w:val="28"/>
          <w:sz w:val="20"/>
          <w:lang w:val="es-ES" w:eastAsia="en-US"/>
        </w:rPr>
        <w:t xml:space="preserve"> </w:t>
      </w:r>
      <w:proofErr w:type="spellStart"/>
      <w:r w:rsidRPr="002908A8">
        <w:rPr>
          <w:rFonts w:ascii="Arial" w:hAnsi="Arial" w:cs="Arial"/>
          <w:i/>
          <w:iCs/>
          <w:color w:val="4F062A" w:themeColor="text1"/>
          <w:kern w:val="28"/>
          <w:sz w:val="20"/>
          <w:lang w:val="es-ES" w:eastAsia="en-US"/>
        </w:rPr>
        <w:t>Location</w:t>
      </w:r>
      <w:proofErr w:type="spellEnd"/>
      <w:r w:rsidRPr="002908A8">
        <w:rPr>
          <w:rFonts w:ascii="Arial" w:hAnsi="Arial" w:cs="Arial"/>
          <w:i/>
          <w:iCs/>
          <w:color w:val="4F062A" w:themeColor="text1"/>
          <w:kern w:val="28"/>
          <w:sz w:val="20"/>
          <w:lang w:val="es-ES" w:eastAsia="en-US"/>
        </w:rPr>
        <w:t xml:space="preserve"> </w:t>
      </w:r>
      <w:proofErr w:type="spellStart"/>
      <w:r w:rsidRPr="002908A8">
        <w:rPr>
          <w:rFonts w:ascii="Arial" w:hAnsi="Arial" w:cs="Arial"/>
          <w:i/>
          <w:iCs/>
          <w:color w:val="4F062A" w:themeColor="text1"/>
          <w:kern w:val="28"/>
          <w:sz w:val="20"/>
          <w:lang w:val="es-ES" w:eastAsia="en-US"/>
        </w:rPr>
        <w:t>Index</w:t>
      </w:r>
      <w:proofErr w:type="spellEnd"/>
      <w:r w:rsidRPr="002908A8">
        <w:rPr>
          <w:rFonts w:ascii="Arial" w:hAnsi="Arial" w:cs="Arial"/>
          <w:color w:val="4F062A" w:themeColor="text1"/>
          <w:kern w:val="28"/>
          <w:sz w:val="20"/>
          <w:lang w:val="es-ES" w:eastAsia="en-US"/>
        </w:rPr>
        <w:t xml:space="preserve"> de Kearney, indican que México ya no es un jugador emergente en este sector, sino un socio que opera con consistencia en los segmentos de desarrollo de soluciones con tecnologías avanzadas, </w:t>
      </w:r>
      <w:proofErr w:type="spellStart"/>
      <w:r w:rsidRPr="002908A8">
        <w:rPr>
          <w:rFonts w:ascii="Arial" w:hAnsi="Arial" w:cs="Arial"/>
          <w:color w:val="4F062A" w:themeColor="text1"/>
          <w:kern w:val="28"/>
          <w:sz w:val="20"/>
          <w:lang w:val="es-ES" w:eastAsia="en-US"/>
        </w:rPr>
        <w:t>cyberseguridad</w:t>
      </w:r>
      <w:proofErr w:type="spellEnd"/>
      <w:r w:rsidRPr="002908A8">
        <w:rPr>
          <w:rFonts w:ascii="Arial" w:hAnsi="Arial" w:cs="Arial"/>
          <w:color w:val="4F062A" w:themeColor="text1"/>
          <w:kern w:val="28"/>
          <w:sz w:val="20"/>
          <w:lang w:val="es-ES" w:eastAsia="en-US"/>
        </w:rPr>
        <w:t xml:space="preserve">, soporte a infraestructura, mantenimiento de sistemas </w:t>
      </w:r>
      <w:proofErr w:type="spellStart"/>
      <w:r w:rsidRPr="002908A8">
        <w:rPr>
          <w:rFonts w:ascii="Arial" w:hAnsi="Arial" w:cs="Arial"/>
          <w:color w:val="4F062A" w:themeColor="text1"/>
          <w:kern w:val="28"/>
          <w:sz w:val="20"/>
          <w:lang w:val="es-ES" w:eastAsia="en-US"/>
        </w:rPr>
        <w:t>legacy</w:t>
      </w:r>
      <w:proofErr w:type="spellEnd"/>
      <w:r w:rsidRPr="002908A8">
        <w:rPr>
          <w:rFonts w:ascii="Arial" w:hAnsi="Arial" w:cs="Arial"/>
          <w:color w:val="4F062A" w:themeColor="text1"/>
          <w:kern w:val="28"/>
          <w:sz w:val="20"/>
          <w:lang w:val="es-ES" w:eastAsia="en-US"/>
        </w:rPr>
        <w:t xml:space="preserve"> y evolución de plataformas digitales.</w:t>
      </w:r>
    </w:p>
    <w:p w14:paraId="167CA561"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p>
    <w:p w14:paraId="46E14132"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lastRenderedPageBreak/>
        <w:t>El valor está en el talento</w:t>
      </w:r>
    </w:p>
    <w:p w14:paraId="4A8EF587"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Si bien aún existe una diferencia entre los niveles de inversión en investigación y desarrollo con respecto a países como India o Polonia, las empresas mexicanas han centrado su posicionamiento en la personalización de soluciones, el conocimiento de procesos y la afinidad regulatoria con el mercado estadounidense. Esto ha sido particularmente visible en el caso de bancos que operan en ambas geografías, como Santander o Citi, los cuales han aprovechado su presencia local para extender centros de desarrollo hacia unidades regionales de TI.</w:t>
      </w:r>
    </w:p>
    <w:p w14:paraId="696E1821"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La ventaja competitiva no radica exclusivamente en el costo por hora o en los modelos de staff </w:t>
      </w:r>
      <w:proofErr w:type="spellStart"/>
      <w:r w:rsidRPr="002908A8">
        <w:rPr>
          <w:rFonts w:ascii="Arial" w:hAnsi="Arial" w:cs="Arial"/>
          <w:color w:val="4F062A" w:themeColor="text1"/>
          <w:kern w:val="28"/>
          <w:sz w:val="20"/>
          <w:lang w:val="es-ES" w:eastAsia="en-US"/>
        </w:rPr>
        <w:t>augmentation</w:t>
      </w:r>
      <w:proofErr w:type="spellEnd"/>
      <w:r w:rsidRPr="002908A8">
        <w:rPr>
          <w:rFonts w:ascii="Arial" w:hAnsi="Arial" w:cs="Arial"/>
          <w:color w:val="4F062A" w:themeColor="text1"/>
          <w:kern w:val="28"/>
          <w:sz w:val="20"/>
          <w:lang w:val="es-ES" w:eastAsia="en-US"/>
        </w:rPr>
        <w:t xml:space="preserve">, sino en la capacidad de diseñar soluciones específicas de alto valor para problemas concretos, con una integración de equipos de negocio, arquitectura tecnológica y operaciones. Esta visión requiere cambiar el enfoque desde la contratación de recursos técnicos hacia la constitución de células de solución. </w:t>
      </w:r>
    </w:p>
    <w:p w14:paraId="3FA08CE5" w14:textId="560CEB8A"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Al igual que </w:t>
      </w:r>
      <w:proofErr w:type="gramStart"/>
      <w:r w:rsidRPr="002908A8">
        <w:rPr>
          <w:rFonts w:ascii="Arial" w:hAnsi="Arial" w:cs="Arial"/>
          <w:color w:val="4F062A" w:themeColor="text1"/>
          <w:kern w:val="28"/>
          <w:sz w:val="20"/>
          <w:lang w:val="es-ES" w:eastAsia="en-US"/>
        </w:rPr>
        <w:t xml:space="preserve">en </w:t>
      </w:r>
      <w:r w:rsidR="007E34CC">
        <w:rPr>
          <w:rFonts w:ascii="Arial" w:hAnsi="Arial" w:cs="Arial"/>
          <w:color w:val="4F062A" w:themeColor="text1"/>
          <w:kern w:val="28"/>
          <w:sz w:val="20"/>
          <w:lang w:val="es-ES" w:eastAsia="en-US"/>
        </w:rPr>
        <w:t xml:space="preserve"> la</w:t>
      </w:r>
      <w:proofErr w:type="gramEnd"/>
      <w:r w:rsidR="007E34CC">
        <w:rPr>
          <w:rFonts w:ascii="Arial" w:hAnsi="Arial" w:cs="Arial"/>
          <w:color w:val="4F062A" w:themeColor="text1"/>
          <w:kern w:val="28"/>
          <w:sz w:val="20"/>
          <w:lang w:val="es-ES" w:eastAsia="en-US"/>
        </w:rPr>
        <w:t xml:space="preserve"> exportación</w:t>
      </w:r>
      <w:r w:rsidRPr="002908A8">
        <w:rPr>
          <w:rFonts w:ascii="Arial" w:hAnsi="Arial" w:cs="Arial"/>
          <w:color w:val="4F062A" w:themeColor="text1"/>
          <w:kern w:val="28"/>
          <w:sz w:val="20"/>
          <w:lang w:val="es-ES" w:eastAsia="en-US"/>
        </w:rPr>
        <w:t xml:space="preserve"> de manufactura, donde el valor no está en ensamblar componentes sino en construir plataformas logísticas con integración regional, en </w:t>
      </w:r>
      <w:r w:rsidR="007E34CC">
        <w:rPr>
          <w:rFonts w:ascii="Arial" w:hAnsi="Arial" w:cs="Arial"/>
          <w:color w:val="4F062A" w:themeColor="text1"/>
          <w:kern w:val="28"/>
          <w:sz w:val="20"/>
          <w:lang w:val="es-ES" w:eastAsia="en-US"/>
        </w:rPr>
        <w:t xml:space="preserve">la expansión internacional </w:t>
      </w:r>
      <w:r w:rsidRPr="002908A8">
        <w:rPr>
          <w:rFonts w:ascii="Arial" w:hAnsi="Arial" w:cs="Arial"/>
          <w:color w:val="4F062A" w:themeColor="text1"/>
          <w:kern w:val="28"/>
          <w:sz w:val="20"/>
          <w:lang w:val="es-ES" w:eastAsia="en-US"/>
        </w:rPr>
        <w:t>de servicios TI, el valor no está</w:t>
      </w:r>
      <w:r w:rsidR="001516D8">
        <w:rPr>
          <w:rFonts w:ascii="Arial" w:hAnsi="Arial" w:cs="Arial"/>
          <w:color w:val="4F062A" w:themeColor="text1"/>
          <w:kern w:val="28"/>
          <w:sz w:val="20"/>
          <w:lang w:val="es-ES" w:eastAsia="en-US"/>
        </w:rPr>
        <w:t xml:space="preserve"> en la</w:t>
      </w:r>
      <w:r w:rsidRPr="002908A8">
        <w:rPr>
          <w:rFonts w:ascii="Arial" w:hAnsi="Arial" w:cs="Arial"/>
          <w:color w:val="4F062A" w:themeColor="text1"/>
          <w:kern w:val="28"/>
          <w:sz w:val="20"/>
          <w:lang w:val="es-ES" w:eastAsia="en-US"/>
        </w:rPr>
        <w:t xml:space="preserve"> ejecución de la programación o en la escritura de líneas de código; el verdadero valor está en el talento, en la capacidad de diseñar los sistemas que permiten a las compañías operar en entornos cada vez más digitalizados.</w:t>
      </w:r>
    </w:p>
    <w:p w14:paraId="0D49FE0B"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p>
    <w:p w14:paraId="6AA39F18"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La clave está en el conocimiento</w:t>
      </w:r>
    </w:p>
    <w:p w14:paraId="221B5747"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Un componente adicional que ha fortalecido esta oferta es el conocimiento normativo del sector financiero y asegurador. Las empresas mexicanas con experiencia en cumplimiento regulatorio, validación de procesos KYC (</w:t>
      </w:r>
      <w:proofErr w:type="spellStart"/>
      <w:r w:rsidRPr="002908A8">
        <w:rPr>
          <w:rFonts w:ascii="Arial" w:hAnsi="Arial" w:cs="Arial"/>
          <w:color w:val="4F062A" w:themeColor="text1"/>
          <w:kern w:val="28"/>
          <w:sz w:val="20"/>
          <w:lang w:val="es-ES" w:eastAsia="en-US"/>
        </w:rPr>
        <w:t>Know</w:t>
      </w:r>
      <w:proofErr w:type="spellEnd"/>
      <w:r w:rsidRPr="002908A8">
        <w:rPr>
          <w:rFonts w:ascii="Arial" w:hAnsi="Arial" w:cs="Arial"/>
          <w:color w:val="4F062A" w:themeColor="text1"/>
          <w:kern w:val="28"/>
          <w:sz w:val="20"/>
          <w:lang w:val="es-ES" w:eastAsia="en-US"/>
        </w:rPr>
        <w:t xml:space="preserve"> </w:t>
      </w:r>
      <w:proofErr w:type="spellStart"/>
      <w:r w:rsidRPr="002908A8">
        <w:rPr>
          <w:rFonts w:ascii="Arial" w:hAnsi="Arial" w:cs="Arial"/>
          <w:color w:val="4F062A" w:themeColor="text1"/>
          <w:kern w:val="28"/>
          <w:sz w:val="20"/>
          <w:lang w:val="es-ES" w:eastAsia="en-US"/>
        </w:rPr>
        <w:t>Your</w:t>
      </w:r>
      <w:proofErr w:type="spellEnd"/>
      <w:r w:rsidRPr="002908A8">
        <w:rPr>
          <w:rFonts w:ascii="Arial" w:hAnsi="Arial" w:cs="Arial"/>
          <w:color w:val="4F062A" w:themeColor="text1"/>
          <w:kern w:val="28"/>
          <w:sz w:val="20"/>
          <w:lang w:val="es-ES" w:eastAsia="en-US"/>
        </w:rPr>
        <w:t xml:space="preserve"> </w:t>
      </w:r>
      <w:proofErr w:type="spellStart"/>
      <w:r w:rsidRPr="002908A8">
        <w:rPr>
          <w:rFonts w:ascii="Arial" w:hAnsi="Arial" w:cs="Arial"/>
          <w:color w:val="4F062A" w:themeColor="text1"/>
          <w:kern w:val="28"/>
          <w:sz w:val="20"/>
          <w:lang w:val="es-ES" w:eastAsia="en-US"/>
        </w:rPr>
        <w:t>Customer</w:t>
      </w:r>
      <w:proofErr w:type="spellEnd"/>
      <w:r w:rsidRPr="002908A8">
        <w:rPr>
          <w:rFonts w:ascii="Arial" w:hAnsi="Arial" w:cs="Arial"/>
          <w:color w:val="4F062A" w:themeColor="text1"/>
          <w:kern w:val="28"/>
          <w:sz w:val="20"/>
          <w:lang w:val="es-ES" w:eastAsia="en-US"/>
        </w:rPr>
        <w:t>), y gestión de riesgos digitales han logrado posicionarse como interlocutores válidos para proyectos que requieren control, seguridad y confiabilidad. A esto se suma la capacidad de desarrollar en tecnologías tradicionales como Java y COBOL, cuya demanda sigue siendo alta en sistemas bancarios estadounidenses, aunque no se perciban como tecnologías emergentes.</w:t>
      </w:r>
    </w:p>
    <w:p w14:paraId="0DF0066E"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También hay un interés creciente en proyectos relacionados con gobernanza de datos y analítica avanzada. Con una economía que genera datos a gran escala, las compañías requieren modelos de gobernanza que les permitan clasificar, validar y explotar esa información con fines de negocio y cumplimiento. Este tipo de iniciativas requieren tanto conocimiento técnico como comprensión operativa, y es ahí donde las firmas mexicanas han comenzado a ser consideradas no como proveedores de soporte, sino como socios estratégicos.</w:t>
      </w:r>
    </w:p>
    <w:p w14:paraId="4C334FF3"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El reto actual está en el desarrollo de talento bilingüe, con capacidad de interlocución directa con equipos de diseño y liderazgo de proyectos. La brecha no está en el conocimiento tecnológico, sino en la articulación de dicho conocimiento dentro de estructuras de colaboración con interlocutores internacionales. Para resolver esto, las estrategias de capacitación y especialización deberán acelerarse en los próximos años.</w:t>
      </w:r>
    </w:p>
    <w:p w14:paraId="678EFAA3" w14:textId="5DBA7F63"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r w:rsidRPr="002908A8">
        <w:rPr>
          <w:rFonts w:ascii="Arial" w:hAnsi="Arial" w:cs="Arial"/>
          <w:color w:val="4F062A" w:themeColor="text1"/>
          <w:kern w:val="28"/>
          <w:sz w:val="20"/>
          <w:lang w:val="es-ES" w:eastAsia="en-US"/>
        </w:rPr>
        <w:t xml:space="preserve">Pese a ello, es claro que México se encuentra en una posición crítica. Tiene el talento, la ubicación, la experiencia y la infraestructura. Pero debe definir con claridad cómo capitalizar estas ventajas para construir una narrativa distinta. </w:t>
      </w:r>
      <w:r w:rsidR="002E0075">
        <w:rPr>
          <w:rFonts w:ascii="Arial" w:hAnsi="Arial" w:cs="Arial"/>
          <w:color w:val="4F062A" w:themeColor="text1"/>
          <w:kern w:val="28"/>
          <w:sz w:val="20"/>
          <w:lang w:val="es-ES" w:eastAsia="en-US"/>
        </w:rPr>
        <w:t>Si la exportación</w:t>
      </w:r>
      <w:r w:rsidRPr="002908A8">
        <w:rPr>
          <w:rFonts w:ascii="Arial" w:hAnsi="Arial" w:cs="Arial"/>
          <w:color w:val="4F062A" w:themeColor="text1"/>
          <w:kern w:val="28"/>
          <w:sz w:val="20"/>
          <w:lang w:val="es-ES" w:eastAsia="en-US"/>
        </w:rPr>
        <w:t xml:space="preserve"> en manufactura se convirtió en una oportunidad de política industrial, la de servicios TI puede ser una oportunidad de política de innovación. No basta con ofrecer tarifas competitivas; es necesario demostrar que el conocimiento, como activo exportable, puede ser tan valioso como cualquier componente industrial.</w:t>
      </w:r>
    </w:p>
    <w:p w14:paraId="7332257D" w14:textId="77777777" w:rsidR="00530DB5" w:rsidRPr="002908A8" w:rsidRDefault="00530DB5" w:rsidP="00530DB5">
      <w:pPr>
        <w:rPr>
          <w:rFonts w:ascii="Arial" w:hAnsi="Arial" w:cs="Arial"/>
        </w:rPr>
      </w:pPr>
    </w:p>
    <w:p w14:paraId="65D52A4A" w14:textId="77777777" w:rsidR="00530DB5" w:rsidRPr="002908A8" w:rsidRDefault="00530DB5" w:rsidP="00530DB5">
      <w:pPr>
        <w:pStyle w:val="NormalWeb"/>
        <w:spacing w:before="0" w:beforeAutospacing="0" w:after="120" w:afterAutospacing="0"/>
        <w:rPr>
          <w:rFonts w:ascii="Arial" w:hAnsi="Arial" w:cs="Arial"/>
          <w:color w:val="4F062A" w:themeColor="text1"/>
          <w:kern w:val="28"/>
          <w:sz w:val="20"/>
          <w:lang w:val="es-ES" w:eastAsia="en-US"/>
        </w:rPr>
      </w:pPr>
    </w:p>
    <w:p w14:paraId="7261B96C" w14:textId="3DC438B7" w:rsidR="00532A27" w:rsidRPr="002908A8" w:rsidRDefault="00532A27" w:rsidP="00C80060">
      <w:pPr>
        <w:spacing w:before="0" w:after="0"/>
        <w:ind w:right="282"/>
        <w:rPr>
          <w:rFonts w:ascii="Arial" w:hAnsi="Arial" w:cs="Arial"/>
          <w:noProof/>
          <w:color w:val="380A22"/>
          <w:sz w:val="21"/>
        </w:rPr>
      </w:pPr>
    </w:p>
    <w:sectPr w:rsidR="00532A27" w:rsidRPr="002908A8" w:rsidSect="00A67B89">
      <w:headerReference w:type="default" r:id="rId11"/>
      <w:footerReference w:type="default" r:id="rId12"/>
      <w:headerReference w:type="first" r:id="rId13"/>
      <w:footerReference w:type="first" r:id="rId14"/>
      <w:pgSz w:w="11906" w:h="16838" w:code="9"/>
      <w:pgMar w:top="284" w:right="851"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125A" w14:textId="77777777" w:rsidR="00002756" w:rsidRDefault="00002756" w:rsidP="00544EF6">
      <w:pPr>
        <w:spacing w:before="0"/>
      </w:pPr>
      <w:r>
        <w:separator/>
      </w:r>
    </w:p>
  </w:endnote>
  <w:endnote w:type="continuationSeparator" w:id="0">
    <w:p w14:paraId="556EAAE6" w14:textId="77777777" w:rsidR="00002756" w:rsidRDefault="00002756"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altName w:val="Arial"/>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631B"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A3A7"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9CE4" w14:textId="77777777" w:rsidR="00002756" w:rsidRDefault="00002756" w:rsidP="00544EF6">
      <w:pPr>
        <w:spacing w:before="0"/>
      </w:pPr>
      <w:r>
        <w:separator/>
      </w:r>
    </w:p>
  </w:footnote>
  <w:footnote w:type="continuationSeparator" w:id="0">
    <w:p w14:paraId="13AD9BE7" w14:textId="77777777" w:rsidR="00002756" w:rsidRDefault="00002756"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6"/>
      <w:gridCol w:w="3308"/>
    </w:tblGrid>
    <w:tr w:rsidR="00A67B89" w14:paraId="176CCB57" w14:textId="77777777" w:rsidTr="00A67B89">
      <w:trPr>
        <w:trHeight w:val="1"/>
      </w:trPr>
      <w:tc>
        <w:tcPr>
          <w:tcW w:w="1667" w:type="pct"/>
          <w:tcBorders>
            <w:top w:val="nil"/>
            <w:left w:val="nil"/>
            <w:bottom w:val="nil"/>
            <w:right w:val="nil"/>
          </w:tcBorders>
        </w:tcPr>
        <w:p w14:paraId="7A1DB65A" w14:textId="77777777" w:rsidR="00A67B89" w:rsidRDefault="00521F02" w:rsidP="00A67B89">
          <w:pPr>
            <w:spacing w:before="160"/>
          </w:pPr>
          <w:r w:rsidRPr="00FA3670">
            <w:rPr>
              <w:noProof/>
              <w:lang w:val="es-MX" w:eastAsia="es-MX"/>
            </w:rPr>
            <mc:AlternateContent>
              <mc:Choice Requires="wpg">
                <w:drawing>
                  <wp:inline distT="0" distB="0" distL="0" distR="0" wp14:anchorId="0A42FAE3" wp14:editId="469F7DF4">
                    <wp:extent cx="2009140" cy="191135"/>
                    <wp:effectExtent l="0" t="0" r="0" b="0"/>
                    <wp:docPr id="106240771" name="Group 4"/>
                    <wp:cNvGraphicFramePr/>
                    <a:graphic xmlns:a="http://schemas.openxmlformats.org/drawingml/2006/main">
                      <a:graphicData uri="http://schemas.microsoft.com/office/word/2010/wordprocessingGroup">
                        <wpg:wgp>
                          <wpg:cNvGrpSpPr/>
                          <wpg:grpSpPr bwMode="auto">
                            <a:xfrm>
                              <a:off x="0" y="0"/>
                              <a:ext cx="2009140" cy="191135"/>
                              <a:chOff x="0" y="0"/>
                              <a:chExt cx="6318" cy="602"/>
                            </a:xfrm>
                            <a:solidFill>
                              <a:srgbClr val="4F062A"/>
                            </a:solidFill>
                          </wpg:grpSpPr>
                          <wps:wsp>
                            <wps:cNvPr id="781645292" name="Freeform 6"/>
                            <wps:cNvSpPr>
                              <a:spLocks/>
                            </wps:cNvSpPr>
                            <wps:spPr bwMode="auto">
                              <a:xfrm>
                                <a:off x="0" y="346"/>
                                <a:ext cx="1122" cy="256"/>
                              </a:xfrm>
                              <a:custGeom>
                                <a:avLst/>
                                <a:gdLst>
                                  <a:gd name="T0" fmla="*/ 0 w 1126"/>
                                  <a:gd name="T1" fmla="*/ 248 h 257"/>
                                  <a:gd name="T2" fmla="*/ 33 w 1126"/>
                                  <a:gd name="T3" fmla="*/ 257 h 257"/>
                                  <a:gd name="T4" fmla="*/ 563 w 1126"/>
                                  <a:gd name="T5" fmla="*/ 124 h 257"/>
                                  <a:gd name="T6" fmla="*/ 1093 w 1126"/>
                                  <a:gd name="T7" fmla="*/ 257 h 257"/>
                                  <a:gd name="T8" fmla="*/ 1126 w 1126"/>
                                  <a:gd name="T9" fmla="*/ 248 h 257"/>
                                  <a:gd name="T10" fmla="*/ 563 w 1126"/>
                                  <a:gd name="T11" fmla="*/ 0 h 257"/>
                                  <a:gd name="T12" fmla="*/ 0 w 1126"/>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630550" name="Freeform 7"/>
                            <wps:cNvSpPr>
                              <a:spLocks/>
                            </wps:cNvSpPr>
                            <wps:spPr bwMode="auto">
                              <a:xfrm>
                                <a:off x="0" y="0"/>
                                <a:ext cx="1122" cy="256"/>
                              </a:xfrm>
                              <a:custGeom>
                                <a:avLst/>
                                <a:gdLst>
                                  <a:gd name="T0" fmla="*/ 1126 w 1126"/>
                                  <a:gd name="T1" fmla="*/ 9 h 257"/>
                                  <a:gd name="T2" fmla="*/ 1093 w 1126"/>
                                  <a:gd name="T3" fmla="*/ 0 h 257"/>
                                  <a:gd name="T4" fmla="*/ 563 w 1126"/>
                                  <a:gd name="T5" fmla="*/ 133 h 257"/>
                                  <a:gd name="T6" fmla="*/ 33 w 1126"/>
                                  <a:gd name="T7" fmla="*/ 0 h 257"/>
                                  <a:gd name="T8" fmla="*/ 0 w 1126"/>
                                  <a:gd name="T9" fmla="*/ 9 h 257"/>
                                  <a:gd name="T10" fmla="*/ 563 w 1126"/>
                                  <a:gd name="T11" fmla="*/ 257 h 257"/>
                                  <a:gd name="T12" fmla="*/ 1126 w 1126"/>
                                  <a:gd name="T13" fmla="*/ 9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390086" name="Freeform 8"/>
                            <wps:cNvSpPr>
                              <a:spLocks noEditPoints="1"/>
                            </wps:cNvSpPr>
                            <wps:spPr bwMode="auto">
                              <a:xfrm>
                                <a:off x="1436" y="37"/>
                                <a:ext cx="4882" cy="542"/>
                              </a:xfrm>
                              <a:custGeom>
                                <a:avLst/>
                                <a:gdLst>
                                  <a:gd name="T0" fmla="*/ 145 w 4897"/>
                                  <a:gd name="T1" fmla="*/ 121 h 544"/>
                                  <a:gd name="T2" fmla="*/ 0 w 4897"/>
                                  <a:gd name="T3" fmla="*/ 544 h 544"/>
                                  <a:gd name="T4" fmla="*/ 267 w 4897"/>
                                  <a:gd name="T5" fmla="*/ 0 h 544"/>
                                  <a:gd name="T6" fmla="*/ 445 w 4897"/>
                                  <a:gd name="T7" fmla="*/ 312 h 544"/>
                                  <a:gd name="T8" fmla="*/ 842 w 4897"/>
                                  <a:gd name="T9" fmla="*/ 0 h 544"/>
                                  <a:gd name="T10" fmla="*/ 698 w 4897"/>
                                  <a:gd name="T11" fmla="*/ 544 h 544"/>
                                  <a:gd name="T12" fmla="*/ 667 w 4897"/>
                                  <a:gd name="T13" fmla="*/ 121 h 544"/>
                                  <a:gd name="T14" fmla="*/ 313 w 4897"/>
                                  <a:gd name="T15" fmla="*/ 433 h 544"/>
                                  <a:gd name="T16" fmla="*/ 1014 w 4897"/>
                                  <a:gd name="T17" fmla="*/ 0 h 544"/>
                                  <a:gd name="T18" fmla="*/ 1158 w 4897"/>
                                  <a:gd name="T19" fmla="*/ 544 h 544"/>
                                  <a:gd name="T20" fmla="*/ 1014 w 4897"/>
                                  <a:gd name="T21" fmla="*/ 0 h 544"/>
                                  <a:gd name="T22" fmla="*/ 1588 w 4897"/>
                                  <a:gd name="T23" fmla="*/ 0 h 544"/>
                                  <a:gd name="T24" fmla="*/ 1903 w 4897"/>
                                  <a:gd name="T25" fmla="*/ 423 h 544"/>
                                  <a:gd name="T26" fmla="*/ 2047 w 4897"/>
                                  <a:gd name="T27" fmla="*/ 0 h 544"/>
                                  <a:gd name="T28" fmla="*/ 1788 w 4897"/>
                                  <a:gd name="T29" fmla="*/ 544 h 544"/>
                                  <a:gd name="T30" fmla="*/ 1474 w 4897"/>
                                  <a:gd name="T31" fmla="*/ 121 h 544"/>
                                  <a:gd name="T32" fmla="*/ 1329 w 4897"/>
                                  <a:gd name="T33" fmla="*/ 544 h 544"/>
                                  <a:gd name="T34" fmla="*/ 2203 w 4897"/>
                                  <a:gd name="T35" fmla="*/ 544 h 544"/>
                                  <a:gd name="T36" fmla="*/ 2714 w 4897"/>
                                  <a:gd name="T37" fmla="*/ 423 h 544"/>
                                  <a:gd name="T38" fmla="*/ 2714 w 4897"/>
                                  <a:gd name="T39" fmla="*/ 328 h 544"/>
                                  <a:gd name="T40" fmla="*/ 2187 w 4897"/>
                                  <a:gd name="T41" fmla="*/ 164 h 544"/>
                                  <a:gd name="T42" fmla="*/ 2871 w 4897"/>
                                  <a:gd name="T43" fmla="*/ 0 h 544"/>
                                  <a:gd name="T44" fmla="*/ 2371 w 4897"/>
                                  <a:gd name="T45" fmla="*/ 121 h 544"/>
                                  <a:gd name="T46" fmla="*/ 2371 w 4897"/>
                                  <a:gd name="T47" fmla="*/ 207 h 544"/>
                                  <a:gd name="T48" fmla="*/ 2902 w 4897"/>
                                  <a:gd name="T49" fmla="*/ 376 h 544"/>
                                  <a:gd name="T50" fmla="*/ 2203 w 4897"/>
                                  <a:gd name="T51" fmla="*/ 544 h 544"/>
                                  <a:gd name="T52" fmla="*/ 3288 w 4897"/>
                                  <a:gd name="T53" fmla="*/ 0 h 544"/>
                                  <a:gd name="T54" fmla="*/ 3818 w 4897"/>
                                  <a:gd name="T55" fmla="*/ 541 h 544"/>
                                  <a:gd name="T56" fmla="*/ 3657 w 4897"/>
                                  <a:gd name="T57" fmla="*/ 544 h 544"/>
                                  <a:gd name="T58" fmla="*/ 3183 w 4897"/>
                                  <a:gd name="T59" fmla="*/ 443 h 544"/>
                                  <a:gd name="T60" fmla="*/ 2964 w 4897"/>
                                  <a:gd name="T61" fmla="*/ 544 h 544"/>
                                  <a:gd name="T62" fmla="*/ 3529 w 4897"/>
                                  <a:gd name="T63" fmla="*/ 322 h 544"/>
                                  <a:gd name="T64" fmla="*/ 3367 w 4897"/>
                                  <a:gd name="T65" fmla="*/ 121 h 544"/>
                                  <a:gd name="T66" fmla="*/ 3529 w 4897"/>
                                  <a:gd name="T67" fmla="*/ 322 h 544"/>
                                  <a:gd name="T68" fmla="*/ 4076 w 4897"/>
                                  <a:gd name="T69" fmla="*/ 0 h 544"/>
                                  <a:gd name="T70" fmla="*/ 3931 w 4897"/>
                                  <a:gd name="T71" fmla="*/ 544 h 544"/>
                                  <a:gd name="T72" fmla="*/ 4475 w 4897"/>
                                  <a:gd name="T73" fmla="*/ 121 h 544"/>
                                  <a:gd name="T74" fmla="*/ 4197 w 4897"/>
                                  <a:gd name="T75" fmla="*/ 0 h 544"/>
                                  <a:gd name="T76" fmla="*/ 4897 w 4897"/>
                                  <a:gd name="T77" fmla="*/ 121 h 544"/>
                                  <a:gd name="T78" fmla="*/ 4619 w 4897"/>
                                  <a:gd name="T79" fmla="*/ 544 h 544"/>
                                  <a:gd name="T80" fmla="*/ 4475 w 4897"/>
                                  <a:gd name="T81" fmla="*/ 12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7" h="544">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sdtfl="http://schemas.microsoft.com/office/word/2024/wordml/sdtformatlock">
                <w:pict>
                  <v:group w14:anchorId="05118E15" id="Group 4" o:spid="_x0000_s1026" style="width:158.2pt;height:15.05pt;mso-position-horizontal-relative:char;mso-position-vertical-relative:line" coordsize="631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">
                    <v:shape id="Freeform 6" o:spid="_x0000_s1027" style="position:absolute;top:346;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" path="m,248v33,9,33,9,33,9c33,257,439,133,563,124v124,9,530,133,530,133c1126,248,1126,248,1126,248,1126,248,773,5,563,,353,5,,248,,248e" filled="f" stroked="f">
                      <v:path arrowok="t" o:connecttype="custom" o:connectlocs="0,247;33,256;561,124;1089,256;1122,247;561,0;0,247" o:connectangles="0,0,0,0,0,0,0"/>
                    </v:shape>
                    <v:shape id="Freeform 7" o:spid="_x0000_s1028" style="position:absolute;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" path="m1126,9c1093,,1093,,1093,v,,-406,124,-530,133c439,124,33,,33,,,9,,9,,9v,,353,243,563,248c773,252,1126,9,1126,9e" filled="f" stroked="f">
                      <v:path arrowok="t" o:connecttype="custom" o:connectlocs="1122,9;1089,0;561,132;33,0;0,9;561,256;1122,9" o:connectangles="0,0,0,0,0,0,0"/>
                    </v:shape>
                    <v:shape id="Freeform 8" o:spid="_x0000_s1029" style="position:absolute;left:1436;top:37;width:4882;height:542;visibility:visible;mso-wrap-style:square;v-text-anchor:top" coordsize="489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" path="m176,121v-31,,-31,,-31,c145,544,145,544,145,544,,544,,544,,544,,,,,,,267,,267,,267,,398,312,398,312,398,312v47,,47,,47,c576,,576,,576,,842,,842,,842,v,544,,544,,544c698,544,698,544,698,544v,-423,,-423,,-423c667,121,667,121,667,121,530,433,530,433,530,433v-217,,-217,,-217,l176,121xm1014,v144,,144,,144,c1158,544,1158,544,1158,544v-144,,-144,,-144,l1014,xm1329,v259,,259,,259,c1871,423,1871,423,1871,423v32,,32,,32,c1903,,1903,,1903,v144,,144,,144,c2047,544,2047,544,2047,544v-259,,-259,,-259,c1505,121,1505,121,1505,121v-31,,-31,,-31,c1474,544,1474,544,1474,544v-145,,-145,,-145,l1329,xm2203,544v,-121,,-121,,-121c2714,423,2714,423,2714,423v30,,47,-17,47,-47c2761,345,2744,328,2714,328v-343,,-343,,-343,c2256,328,2187,267,2187,164,2187,61,2256,,2371,v500,,500,,500,c2871,121,2871,121,2871,121v-500,,-500,,-500,c2344,121,2328,137,2328,164v,27,16,43,43,43c2714,207,2714,207,2714,207v118,,188,63,188,169c2902,481,2832,544,2714,544r-511,xm2964,541c3288,,3288,,3288,v205,,205,,205,c3818,541,3818,541,3818,541v,3,,3,,3c3657,544,3657,544,3657,544,3598,443,3598,443,3598,443v-415,,-415,,-415,c3125,544,3125,544,3125,544v-161,,-161,,-161,l2964,541xm3529,322c3414,121,3414,121,3414,121v-47,,-47,,-47,c3252,322,3252,322,3252,322r277,xm3931,v145,,145,,145,c4076,544,4076,544,4076,544v-145,,-145,,-145,l3931,xm4475,121v-278,,-278,,-278,c4197,,4197,,4197,v700,,700,,700,c4897,121,4897,121,4897,121v-278,,-278,,-278,c4619,544,4619,544,4619,544v-144,,-144,,-144,l4475,121xe" filled="f" stroked="f">
                      <v:path arrowok="t" o:connecttype="custom" o:connectlocs="145,121;0,542;266,0;444,311;839,0;696,542;665,121;312,431;1011,0;1154,542;1011,0;1583,0;1897,421;2041,0;1783,542;1469,121;1325,542;2196,542;2706,421;2706,327;2180,163;2862,0;2364,121;2364,206;2893,375;2196,542;3278,0;3806,539;3646,542;3173,441;2955,542;3518,321;3357,121;3518,321;4064,0;3919,542;4461,121;4184,0;4882,121;4605,542;4461,121" o:connectangles="0,0,0,0,0,0,0,0,0,0,0,0,0,0,0,0,0,0,0,0,0,0,0,0,0,0,0,0,0,0,0,0,0,0,0,0,0,0,0,0,0"/>
                      <o:lock v:ext="edit" verticies="t"/>
                    </v:shape>
                    <w10:anchorlock/>
                  </v:group>
                </w:pict>
              </mc:Fallback>
            </mc:AlternateContent>
          </w:r>
        </w:p>
      </w:tc>
      <w:tc>
        <w:tcPr>
          <w:tcW w:w="1666" w:type="pct"/>
          <w:tcBorders>
            <w:top w:val="nil"/>
            <w:left w:val="nil"/>
            <w:bottom w:val="nil"/>
            <w:right w:val="nil"/>
          </w:tcBorders>
        </w:tcPr>
        <w:p w14:paraId="60E9A47D"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7E582ABF" w14:textId="35453ED2" w:rsidR="00A67B89" w:rsidRPr="00A67B89" w:rsidRDefault="00530DB5" w:rsidP="00530DB5">
          <w:pPr>
            <w:spacing w:before="160"/>
            <w:jc w:val="right"/>
            <w:rPr>
              <w:sz w:val="24"/>
              <w:szCs w:val="32"/>
            </w:rPr>
          </w:pPr>
          <w:r>
            <w:rPr>
              <w:sz w:val="24"/>
              <w:szCs w:val="32"/>
            </w:rPr>
            <w:t>Artículo</w:t>
          </w:r>
          <w:r w:rsidR="006D0CDE">
            <w:rPr>
              <w:sz w:val="24"/>
              <w:szCs w:val="32"/>
            </w:rPr>
            <w:t xml:space="preserve"> de opinión</w:t>
          </w:r>
        </w:p>
      </w:tc>
    </w:tr>
  </w:tbl>
  <w:p w14:paraId="43C17616" w14:textId="77777777" w:rsidR="00A67B89" w:rsidRDefault="00A67B89">
    <w:pPr>
      <w:pStyle w:val="Header"/>
    </w:pPr>
    <w:r>
      <w:rPr>
        <w:noProof/>
        <w:lang w:val="es-MX" w:eastAsia="es-MX"/>
      </w:rPr>
      <w:drawing>
        <wp:anchor distT="0" distB="0" distL="114300" distR="114300" simplePos="0" relativeHeight="251658240" behindDoc="1" locked="0" layoutInCell="1" allowOverlap="1" wp14:anchorId="6FAFC8EA" wp14:editId="45BB9997">
          <wp:simplePos x="0" y="0"/>
          <wp:positionH relativeFrom="margin">
            <wp:align>center</wp:align>
          </wp:positionH>
          <wp:positionV relativeFrom="paragraph">
            <wp:posOffset>-481440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A132" w14:textId="77777777" w:rsidR="00FE4E37" w:rsidRDefault="00FE4E37" w:rsidP="00544EF6">
    <w:pPr>
      <w:pStyle w:val="Header"/>
    </w:pPr>
  </w:p>
  <w:p w14:paraId="2832C1D3"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4F062A"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70495E"/>
    <w:multiLevelType w:val="hybridMultilevel"/>
    <w:tmpl w:val="DA2098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EFE3861"/>
    <w:multiLevelType w:val="multilevel"/>
    <w:tmpl w:val="28A47A60"/>
    <w:lvl w:ilvl="0">
      <w:start w:val="1"/>
      <w:numFmt w:val="bullet"/>
      <w:lvlText w:val="•"/>
      <w:lvlJc w:val="left"/>
      <w:pPr>
        <w:ind w:left="360" w:hanging="360"/>
      </w:pPr>
      <w:rPr>
        <w:rFonts w:ascii="ForFuture Sans" w:eastAsia="ForFuture Sans" w:hAnsi="ForFuture Sans" w:cs="ForFuture Sans"/>
        <w:color w:val="4F062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8A1018A"/>
    <w:multiLevelType w:val="multilevel"/>
    <w:tmpl w:val="8B9E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751073425">
    <w:abstractNumId w:val="13"/>
  </w:num>
  <w:num w:numId="2" w16cid:durableId="1624844557">
    <w:abstractNumId w:val="8"/>
  </w:num>
  <w:num w:numId="3" w16cid:durableId="1647005608">
    <w:abstractNumId w:val="3"/>
  </w:num>
  <w:num w:numId="4" w16cid:durableId="388966009">
    <w:abstractNumId w:val="2"/>
  </w:num>
  <w:num w:numId="5" w16cid:durableId="1047755933">
    <w:abstractNumId w:val="1"/>
  </w:num>
  <w:num w:numId="6" w16cid:durableId="1885751333">
    <w:abstractNumId w:val="0"/>
  </w:num>
  <w:num w:numId="7" w16cid:durableId="1209877678">
    <w:abstractNumId w:val="9"/>
  </w:num>
  <w:num w:numId="8" w16cid:durableId="1554197052">
    <w:abstractNumId w:val="7"/>
  </w:num>
  <w:num w:numId="9" w16cid:durableId="521015260">
    <w:abstractNumId w:val="6"/>
  </w:num>
  <w:num w:numId="10" w16cid:durableId="474297817">
    <w:abstractNumId w:val="5"/>
  </w:num>
  <w:num w:numId="11" w16cid:durableId="291330510">
    <w:abstractNumId w:val="4"/>
  </w:num>
  <w:num w:numId="12" w16cid:durableId="741872746">
    <w:abstractNumId w:val="10"/>
  </w:num>
  <w:num w:numId="13" w16cid:durableId="1768882937">
    <w:abstractNumId w:val="17"/>
  </w:num>
  <w:num w:numId="14" w16cid:durableId="656686170">
    <w:abstractNumId w:val="15"/>
  </w:num>
  <w:num w:numId="15" w16cid:durableId="218831680">
    <w:abstractNumId w:val="14"/>
  </w:num>
  <w:num w:numId="16" w16cid:durableId="128477404">
    <w:abstractNumId w:val="12"/>
  </w:num>
  <w:num w:numId="17" w16cid:durableId="1936816100">
    <w:abstractNumId w:val="11"/>
  </w:num>
  <w:num w:numId="18" w16cid:durableId="580988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D0"/>
    <w:rsid w:val="00002756"/>
    <w:rsid w:val="00016D73"/>
    <w:rsid w:val="000274BA"/>
    <w:rsid w:val="00031FCC"/>
    <w:rsid w:val="00032668"/>
    <w:rsid w:val="0003674A"/>
    <w:rsid w:val="000477AB"/>
    <w:rsid w:val="0004788B"/>
    <w:rsid w:val="00066F6F"/>
    <w:rsid w:val="00067AAB"/>
    <w:rsid w:val="00071821"/>
    <w:rsid w:val="000817B0"/>
    <w:rsid w:val="00084BD7"/>
    <w:rsid w:val="000862DD"/>
    <w:rsid w:val="0009031A"/>
    <w:rsid w:val="00093426"/>
    <w:rsid w:val="00094BC7"/>
    <w:rsid w:val="000966A3"/>
    <w:rsid w:val="000A6FCA"/>
    <w:rsid w:val="000A7E15"/>
    <w:rsid w:val="000C1837"/>
    <w:rsid w:val="000C3EE3"/>
    <w:rsid w:val="000D5E56"/>
    <w:rsid w:val="000E5BDB"/>
    <w:rsid w:val="000F3350"/>
    <w:rsid w:val="00100B6E"/>
    <w:rsid w:val="00101F30"/>
    <w:rsid w:val="00102584"/>
    <w:rsid w:val="00105D58"/>
    <w:rsid w:val="00105E26"/>
    <w:rsid w:val="00114DA2"/>
    <w:rsid w:val="001154C6"/>
    <w:rsid w:val="001309CF"/>
    <w:rsid w:val="0013190E"/>
    <w:rsid w:val="001347A8"/>
    <w:rsid w:val="001351C4"/>
    <w:rsid w:val="00141103"/>
    <w:rsid w:val="00143A06"/>
    <w:rsid w:val="001516D8"/>
    <w:rsid w:val="0015608B"/>
    <w:rsid w:val="001565B0"/>
    <w:rsid w:val="00157D88"/>
    <w:rsid w:val="001626F9"/>
    <w:rsid w:val="00165FED"/>
    <w:rsid w:val="0017039A"/>
    <w:rsid w:val="001726F0"/>
    <w:rsid w:val="0017395C"/>
    <w:rsid w:val="001750D3"/>
    <w:rsid w:val="0017565F"/>
    <w:rsid w:val="00185B20"/>
    <w:rsid w:val="00197609"/>
    <w:rsid w:val="001A1A11"/>
    <w:rsid w:val="001B4A18"/>
    <w:rsid w:val="001C5DEE"/>
    <w:rsid w:val="001C676F"/>
    <w:rsid w:val="001C691F"/>
    <w:rsid w:val="001D6155"/>
    <w:rsid w:val="001E2CFF"/>
    <w:rsid w:val="001F3DA3"/>
    <w:rsid w:val="00201CAC"/>
    <w:rsid w:val="00203287"/>
    <w:rsid w:val="00203F7E"/>
    <w:rsid w:val="00211FF7"/>
    <w:rsid w:val="00215D12"/>
    <w:rsid w:val="00216335"/>
    <w:rsid w:val="00220230"/>
    <w:rsid w:val="002228AE"/>
    <w:rsid w:val="00230CEF"/>
    <w:rsid w:val="00232F1E"/>
    <w:rsid w:val="00233FB8"/>
    <w:rsid w:val="0024741E"/>
    <w:rsid w:val="00253959"/>
    <w:rsid w:val="00254534"/>
    <w:rsid w:val="00255125"/>
    <w:rsid w:val="0026476F"/>
    <w:rsid w:val="00276749"/>
    <w:rsid w:val="0028051B"/>
    <w:rsid w:val="002807F6"/>
    <w:rsid w:val="002810D6"/>
    <w:rsid w:val="002908A8"/>
    <w:rsid w:val="00291C1E"/>
    <w:rsid w:val="00293707"/>
    <w:rsid w:val="0029523A"/>
    <w:rsid w:val="002962A4"/>
    <w:rsid w:val="002A6AB4"/>
    <w:rsid w:val="002B017E"/>
    <w:rsid w:val="002C1027"/>
    <w:rsid w:val="002C5854"/>
    <w:rsid w:val="002C6B54"/>
    <w:rsid w:val="002C70BA"/>
    <w:rsid w:val="002C7F8F"/>
    <w:rsid w:val="002E0075"/>
    <w:rsid w:val="002E515F"/>
    <w:rsid w:val="002F6F11"/>
    <w:rsid w:val="002F6F81"/>
    <w:rsid w:val="002F7BC5"/>
    <w:rsid w:val="00303790"/>
    <w:rsid w:val="00307A5F"/>
    <w:rsid w:val="00311266"/>
    <w:rsid w:val="00312670"/>
    <w:rsid w:val="003139F3"/>
    <w:rsid w:val="00316768"/>
    <w:rsid w:val="00320688"/>
    <w:rsid w:val="003274CA"/>
    <w:rsid w:val="00340E3A"/>
    <w:rsid w:val="00341697"/>
    <w:rsid w:val="00356189"/>
    <w:rsid w:val="00356DFE"/>
    <w:rsid w:val="00357288"/>
    <w:rsid w:val="00357292"/>
    <w:rsid w:val="003607B4"/>
    <w:rsid w:val="003644ED"/>
    <w:rsid w:val="0037165C"/>
    <w:rsid w:val="0038315D"/>
    <w:rsid w:val="0039319D"/>
    <w:rsid w:val="0039747B"/>
    <w:rsid w:val="003A0CE7"/>
    <w:rsid w:val="003A21BA"/>
    <w:rsid w:val="003A244E"/>
    <w:rsid w:val="003A7CD1"/>
    <w:rsid w:val="003B0B1B"/>
    <w:rsid w:val="003B1582"/>
    <w:rsid w:val="003B22CB"/>
    <w:rsid w:val="003B41FA"/>
    <w:rsid w:val="003C4538"/>
    <w:rsid w:val="003C5EE6"/>
    <w:rsid w:val="003C7542"/>
    <w:rsid w:val="003D4A04"/>
    <w:rsid w:val="003E0E71"/>
    <w:rsid w:val="003E76AE"/>
    <w:rsid w:val="003F5627"/>
    <w:rsid w:val="003F65B0"/>
    <w:rsid w:val="003F7D3B"/>
    <w:rsid w:val="004042D6"/>
    <w:rsid w:val="004100CF"/>
    <w:rsid w:val="00413BE8"/>
    <w:rsid w:val="00431B11"/>
    <w:rsid w:val="00440A2E"/>
    <w:rsid w:val="00444647"/>
    <w:rsid w:val="00454A68"/>
    <w:rsid w:val="00456E05"/>
    <w:rsid w:val="00461514"/>
    <w:rsid w:val="004620FA"/>
    <w:rsid w:val="0046704A"/>
    <w:rsid w:val="00467E14"/>
    <w:rsid w:val="00470703"/>
    <w:rsid w:val="00477560"/>
    <w:rsid w:val="00477CB2"/>
    <w:rsid w:val="00482A19"/>
    <w:rsid w:val="00494945"/>
    <w:rsid w:val="00496EA8"/>
    <w:rsid w:val="004A0D6C"/>
    <w:rsid w:val="004A2612"/>
    <w:rsid w:val="004C41E0"/>
    <w:rsid w:val="004C4255"/>
    <w:rsid w:val="004C7BC6"/>
    <w:rsid w:val="004D201E"/>
    <w:rsid w:val="004F4D02"/>
    <w:rsid w:val="0050324F"/>
    <w:rsid w:val="00503E7A"/>
    <w:rsid w:val="00515BEE"/>
    <w:rsid w:val="00516ACD"/>
    <w:rsid w:val="00521F02"/>
    <w:rsid w:val="005225D9"/>
    <w:rsid w:val="00522C71"/>
    <w:rsid w:val="00530DB5"/>
    <w:rsid w:val="00532A27"/>
    <w:rsid w:val="00533A2C"/>
    <w:rsid w:val="005354EA"/>
    <w:rsid w:val="005420D8"/>
    <w:rsid w:val="00544EF6"/>
    <w:rsid w:val="0054527E"/>
    <w:rsid w:val="005479A5"/>
    <w:rsid w:val="00551EAB"/>
    <w:rsid w:val="00556471"/>
    <w:rsid w:val="00557660"/>
    <w:rsid w:val="005620E8"/>
    <w:rsid w:val="005632F2"/>
    <w:rsid w:val="005643BF"/>
    <w:rsid w:val="005662CA"/>
    <w:rsid w:val="00567BC2"/>
    <w:rsid w:val="00573342"/>
    <w:rsid w:val="00574AD2"/>
    <w:rsid w:val="0057767B"/>
    <w:rsid w:val="00590407"/>
    <w:rsid w:val="005916FE"/>
    <w:rsid w:val="005950F3"/>
    <w:rsid w:val="00596BDC"/>
    <w:rsid w:val="00596CFF"/>
    <w:rsid w:val="005A548C"/>
    <w:rsid w:val="005A5791"/>
    <w:rsid w:val="005B7DF2"/>
    <w:rsid w:val="005C36C6"/>
    <w:rsid w:val="005C59B7"/>
    <w:rsid w:val="005C6C5F"/>
    <w:rsid w:val="005E42CC"/>
    <w:rsid w:val="005E6D47"/>
    <w:rsid w:val="005F40E1"/>
    <w:rsid w:val="005F5B18"/>
    <w:rsid w:val="0060007F"/>
    <w:rsid w:val="00606358"/>
    <w:rsid w:val="006065F8"/>
    <w:rsid w:val="00611FD0"/>
    <w:rsid w:val="00613979"/>
    <w:rsid w:val="0061557F"/>
    <w:rsid w:val="00620491"/>
    <w:rsid w:val="0062397A"/>
    <w:rsid w:val="00624185"/>
    <w:rsid w:val="0062745E"/>
    <w:rsid w:val="00636905"/>
    <w:rsid w:val="006436A4"/>
    <w:rsid w:val="00644E3D"/>
    <w:rsid w:val="00650CFB"/>
    <w:rsid w:val="0065284A"/>
    <w:rsid w:val="006530C3"/>
    <w:rsid w:val="0065419B"/>
    <w:rsid w:val="006610F3"/>
    <w:rsid w:val="00661F94"/>
    <w:rsid w:val="00666620"/>
    <w:rsid w:val="006706E7"/>
    <w:rsid w:val="00673663"/>
    <w:rsid w:val="00680ECA"/>
    <w:rsid w:val="00681C63"/>
    <w:rsid w:val="00683D86"/>
    <w:rsid w:val="00690659"/>
    <w:rsid w:val="006916D6"/>
    <w:rsid w:val="006A1A82"/>
    <w:rsid w:val="006A2751"/>
    <w:rsid w:val="006C0C20"/>
    <w:rsid w:val="006D0CDE"/>
    <w:rsid w:val="006D42B7"/>
    <w:rsid w:val="006D6AEC"/>
    <w:rsid w:val="006E2380"/>
    <w:rsid w:val="006E2A25"/>
    <w:rsid w:val="006E50B5"/>
    <w:rsid w:val="006E713D"/>
    <w:rsid w:val="006F1C37"/>
    <w:rsid w:val="006F2ECD"/>
    <w:rsid w:val="00700EBE"/>
    <w:rsid w:val="007036E5"/>
    <w:rsid w:val="00710D75"/>
    <w:rsid w:val="007112E9"/>
    <w:rsid w:val="00720102"/>
    <w:rsid w:val="0073060D"/>
    <w:rsid w:val="007371BB"/>
    <w:rsid w:val="00740349"/>
    <w:rsid w:val="0074770B"/>
    <w:rsid w:val="00751AC8"/>
    <w:rsid w:val="00754A0C"/>
    <w:rsid w:val="007558D7"/>
    <w:rsid w:val="007561D3"/>
    <w:rsid w:val="00767F04"/>
    <w:rsid w:val="00772A2A"/>
    <w:rsid w:val="007746E8"/>
    <w:rsid w:val="007759DF"/>
    <w:rsid w:val="00776C6D"/>
    <w:rsid w:val="0077703F"/>
    <w:rsid w:val="007838FC"/>
    <w:rsid w:val="00792041"/>
    <w:rsid w:val="00797D45"/>
    <w:rsid w:val="007A142B"/>
    <w:rsid w:val="007A4873"/>
    <w:rsid w:val="007D088C"/>
    <w:rsid w:val="007D4A87"/>
    <w:rsid w:val="007E34CC"/>
    <w:rsid w:val="007F681A"/>
    <w:rsid w:val="00812F47"/>
    <w:rsid w:val="00815104"/>
    <w:rsid w:val="0082002F"/>
    <w:rsid w:val="008217C3"/>
    <w:rsid w:val="00824526"/>
    <w:rsid w:val="00824AC8"/>
    <w:rsid w:val="00833D9E"/>
    <w:rsid w:val="008406EA"/>
    <w:rsid w:val="00846722"/>
    <w:rsid w:val="00847EE6"/>
    <w:rsid w:val="00872088"/>
    <w:rsid w:val="00872838"/>
    <w:rsid w:val="008729FD"/>
    <w:rsid w:val="00875414"/>
    <w:rsid w:val="00883344"/>
    <w:rsid w:val="008947BB"/>
    <w:rsid w:val="008B597D"/>
    <w:rsid w:val="008B74BB"/>
    <w:rsid w:val="008C5FB9"/>
    <w:rsid w:val="008D1944"/>
    <w:rsid w:val="008D5E4E"/>
    <w:rsid w:val="008E1FD2"/>
    <w:rsid w:val="008E7D58"/>
    <w:rsid w:val="008F4B43"/>
    <w:rsid w:val="008F5823"/>
    <w:rsid w:val="009012C6"/>
    <w:rsid w:val="00904609"/>
    <w:rsid w:val="00912FBE"/>
    <w:rsid w:val="00914166"/>
    <w:rsid w:val="0092332A"/>
    <w:rsid w:val="00927ED6"/>
    <w:rsid w:val="00930C88"/>
    <w:rsid w:val="00933E5E"/>
    <w:rsid w:val="00936D58"/>
    <w:rsid w:val="00947B1B"/>
    <w:rsid w:val="009519AE"/>
    <w:rsid w:val="009521F1"/>
    <w:rsid w:val="009624A6"/>
    <w:rsid w:val="00974592"/>
    <w:rsid w:val="0097701D"/>
    <w:rsid w:val="00985111"/>
    <w:rsid w:val="00986FF4"/>
    <w:rsid w:val="009A7964"/>
    <w:rsid w:val="009B69E0"/>
    <w:rsid w:val="009C2582"/>
    <w:rsid w:val="009C5923"/>
    <w:rsid w:val="009D0287"/>
    <w:rsid w:val="009D5B01"/>
    <w:rsid w:val="009D5BFC"/>
    <w:rsid w:val="009E030A"/>
    <w:rsid w:val="009E627F"/>
    <w:rsid w:val="009F32F6"/>
    <w:rsid w:val="009F438F"/>
    <w:rsid w:val="009F57FE"/>
    <w:rsid w:val="00A0068F"/>
    <w:rsid w:val="00A00B36"/>
    <w:rsid w:val="00A02FF1"/>
    <w:rsid w:val="00A125B5"/>
    <w:rsid w:val="00A12BB7"/>
    <w:rsid w:val="00A20E14"/>
    <w:rsid w:val="00A30790"/>
    <w:rsid w:val="00A31748"/>
    <w:rsid w:val="00A37706"/>
    <w:rsid w:val="00A37DE0"/>
    <w:rsid w:val="00A414F5"/>
    <w:rsid w:val="00A43F60"/>
    <w:rsid w:val="00A45A46"/>
    <w:rsid w:val="00A46AAE"/>
    <w:rsid w:val="00A545B5"/>
    <w:rsid w:val="00A57E3A"/>
    <w:rsid w:val="00A60CD6"/>
    <w:rsid w:val="00A63186"/>
    <w:rsid w:val="00A67B89"/>
    <w:rsid w:val="00A74084"/>
    <w:rsid w:val="00A75185"/>
    <w:rsid w:val="00A75FD1"/>
    <w:rsid w:val="00A8212D"/>
    <w:rsid w:val="00A840F7"/>
    <w:rsid w:val="00A849C3"/>
    <w:rsid w:val="00A933B1"/>
    <w:rsid w:val="00A96CC4"/>
    <w:rsid w:val="00A96CE5"/>
    <w:rsid w:val="00AA3E24"/>
    <w:rsid w:val="00AA5363"/>
    <w:rsid w:val="00AB00CF"/>
    <w:rsid w:val="00AB0502"/>
    <w:rsid w:val="00AB5B8F"/>
    <w:rsid w:val="00AC67E1"/>
    <w:rsid w:val="00AD6DCA"/>
    <w:rsid w:val="00AE370D"/>
    <w:rsid w:val="00AE52E9"/>
    <w:rsid w:val="00AE6B0F"/>
    <w:rsid w:val="00AF376D"/>
    <w:rsid w:val="00AF6453"/>
    <w:rsid w:val="00B01454"/>
    <w:rsid w:val="00B053D1"/>
    <w:rsid w:val="00B06252"/>
    <w:rsid w:val="00B06474"/>
    <w:rsid w:val="00B10022"/>
    <w:rsid w:val="00B10BC4"/>
    <w:rsid w:val="00B11F02"/>
    <w:rsid w:val="00B170B4"/>
    <w:rsid w:val="00B20048"/>
    <w:rsid w:val="00B23BD3"/>
    <w:rsid w:val="00B24DB2"/>
    <w:rsid w:val="00B330A0"/>
    <w:rsid w:val="00B34743"/>
    <w:rsid w:val="00B42929"/>
    <w:rsid w:val="00B54B85"/>
    <w:rsid w:val="00B60ACA"/>
    <w:rsid w:val="00B618F7"/>
    <w:rsid w:val="00B66F00"/>
    <w:rsid w:val="00B67380"/>
    <w:rsid w:val="00B7047F"/>
    <w:rsid w:val="00B71E5B"/>
    <w:rsid w:val="00B84C57"/>
    <w:rsid w:val="00B87A65"/>
    <w:rsid w:val="00B92C69"/>
    <w:rsid w:val="00B97852"/>
    <w:rsid w:val="00BA728C"/>
    <w:rsid w:val="00BA76FC"/>
    <w:rsid w:val="00BB1F9C"/>
    <w:rsid w:val="00BC3962"/>
    <w:rsid w:val="00BD1E9E"/>
    <w:rsid w:val="00BD5119"/>
    <w:rsid w:val="00BE09AA"/>
    <w:rsid w:val="00BE73E2"/>
    <w:rsid w:val="00C105EA"/>
    <w:rsid w:val="00C23C20"/>
    <w:rsid w:val="00C2497C"/>
    <w:rsid w:val="00C25399"/>
    <w:rsid w:val="00C2697C"/>
    <w:rsid w:val="00C31F59"/>
    <w:rsid w:val="00C33262"/>
    <w:rsid w:val="00C35786"/>
    <w:rsid w:val="00C40254"/>
    <w:rsid w:val="00C40302"/>
    <w:rsid w:val="00C47B2C"/>
    <w:rsid w:val="00C47B57"/>
    <w:rsid w:val="00C50B64"/>
    <w:rsid w:val="00C52062"/>
    <w:rsid w:val="00C554DD"/>
    <w:rsid w:val="00C6016C"/>
    <w:rsid w:val="00C60FF7"/>
    <w:rsid w:val="00C675E3"/>
    <w:rsid w:val="00C742E3"/>
    <w:rsid w:val="00C75524"/>
    <w:rsid w:val="00C80060"/>
    <w:rsid w:val="00C85FD2"/>
    <w:rsid w:val="00C91441"/>
    <w:rsid w:val="00C93CC7"/>
    <w:rsid w:val="00C972F8"/>
    <w:rsid w:val="00C974DF"/>
    <w:rsid w:val="00CB3F82"/>
    <w:rsid w:val="00CB6753"/>
    <w:rsid w:val="00CD0B64"/>
    <w:rsid w:val="00CD227E"/>
    <w:rsid w:val="00CD572F"/>
    <w:rsid w:val="00CE1B85"/>
    <w:rsid w:val="00CE7857"/>
    <w:rsid w:val="00CF0C10"/>
    <w:rsid w:val="00CF78D2"/>
    <w:rsid w:val="00D00BB7"/>
    <w:rsid w:val="00D01488"/>
    <w:rsid w:val="00D03565"/>
    <w:rsid w:val="00D12101"/>
    <w:rsid w:val="00D12E41"/>
    <w:rsid w:val="00D135C1"/>
    <w:rsid w:val="00D20B2F"/>
    <w:rsid w:val="00D277C5"/>
    <w:rsid w:val="00D311DF"/>
    <w:rsid w:val="00D4098A"/>
    <w:rsid w:val="00D416FC"/>
    <w:rsid w:val="00D4235F"/>
    <w:rsid w:val="00D45EC2"/>
    <w:rsid w:val="00D47B1A"/>
    <w:rsid w:val="00D63B88"/>
    <w:rsid w:val="00D74A67"/>
    <w:rsid w:val="00D877AB"/>
    <w:rsid w:val="00D917B6"/>
    <w:rsid w:val="00D94007"/>
    <w:rsid w:val="00D94A56"/>
    <w:rsid w:val="00D957AD"/>
    <w:rsid w:val="00D96BA0"/>
    <w:rsid w:val="00DA2367"/>
    <w:rsid w:val="00DA489E"/>
    <w:rsid w:val="00DA5940"/>
    <w:rsid w:val="00DA5A1A"/>
    <w:rsid w:val="00DB429B"/>
    <w:rsid w:val="00DC09BB"/>
    <w:rsid w:val="00DC3B14"/>
    <w:rsid w:val="00DC3C42"/>
    <w:rsid w:val="00DD1CED"/>
    <w:rsid w:val="00DD2384"/>
    <w:rsid w:val="00DD2A8E"/>
    <w:rsid w:val="00DD5051"/>
    <w:rsid w:val="00DE2AF8"/>
    <w:rsid w:val="00DE44D6"/>
    <w:rsid w:val="00DE5641"/>
    <w:rsid w:val="00DE75D7"/>
    <w:rsid w:val="00DF24D7"/>
    <w:rsid w:val="00DF3827"/>
    <w:rsid w:val="00DF4D23"/>
    <w:rsid w:val="00E07C92"/>
    <w:rsid w:val="00E16ED6"/>
    <w:rsid w:val="00E17A04"/>
    <w:rsid w:val="00E201A0"/>
    <w:rsid w:val="00E20F1F"/>
    <w:rsid w:val="00E34143"/>
    <w:rsid w:val="00E43DDA"/>
    <w:rsid w:val="00E511FA"/>
    <w:rsid w:val="00E51F1F"/>
    <w:rsid w:val="00E52FEA"/>
    <w:rsid w:val="00E77050"/>
    <w:rsid w:val="00E77D9C"/>
    <w:rsid w:val="00E8540A"/>
    <w:rsid w:val="00E86036"/>
    <w:rsid w:val="00E94DAA"/>
    <w:rsid w:val="00E96FC9"/>
    <w:rsid w:val="00E97A5A"/>
    <w:rsid w:val="00EA5D82"/>
    <w:rsid w:val="00EB4282"/>
    <w:rsid w:val="00EC523A"/>
    <w:rsid w:val="00EC690A"/>
    <w:rsid w:val="00EC7CCB"/>
    <w:rsid w:val="00ED17EA"/>
    <w:rsid w:val="00EE4A1E"/>
    <w:rsid w:val="00EF24D5"/>
    <w:rsid w:val="00EF541A"/>
    <w:rsid w:val="00F01251"/>
    <w:rsid w:val="00F03AA6"/>
    <w:rsid w:val="00F04A79"/>
    <w:rsid w:val="00F25E43"/>
    <w:rsid w:val="00F31127"/>
    <w:rsid w:val="00F3643F"/>
    <w:rsid w:val="00F36853"/>
    <w:rsid w:val="00F36DC6"/>
    <w:rsid w:val="00F44261"/>
    <w:rsid w:val="00F56B7C"/>
    <w:rsid w:val="00F7300B"/>
    <w:rsid w:val="00F73249"/>
    <w:rsid w:val="00F75068"/>
    <w:rsid w:val="00F75F1B"/>
    <w:rsid w:val="00F8073A"/>
    <w:rsid w:val="00F81F1F"/>
    <w:rsid w:val="00F83E75"/>
    <w:rsid w:val="00F92FD7"/>
    <w:rsid w:val="00F94411"/>
    <w:rsid w:val="00F94B5A"/>
    <w:rsid w:val="00F95DA5"/>
    <w:rsid w:val="00FA3670"/>
    <w:rsid w:val="00FA37B8"/>
    <w:rsid w:val="00FA38E3"/>
    <w:rsid w:val="00FA4432"/>
    <w:rsid w:val="00FB0EC9"/>
    <w:rsid w:val="00FB144D"/>
    <w:rsid w:val="00FB1BEE"/>
    <w:rsid w:val="00FC4624"/>
    <w:rsid w:val="00FD2660"/>
    <w:rsid w:val="00FD449B"/>
    <w:rsid w:val="00FE4E37"/>
    <w:rsid w:val="00FE76E2"/>
    <w:rsid w:val="00FF0406"/>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02849"/>
  <w15:docId w15:val="{AB25F97E-2F2D-481F-B059-C93147EA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4F062A"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B20D5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B20D5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4F062A"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4F062A"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4F062A"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4F062A"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4F062A"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4F062A"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4F062A" w:themeColor="text1"/>
      <w:sz w:val="20"/>
      <w:szCs w:val="20"/>
      <w:lang w:eastAsia="zh-CN"/>
    </w:rPr>
    <w:tblPr>
      <w:tblBorders>
        <w:top w:val="single" w:sz="4" w:space="0" w:color="4F062A" w:themeColor="text1"/>
        <w:left w:val="single" w:sz="4" w:space="0" w:color="4F062A" w:themeColor="text1"/>
        <w:bottom w:val="single" w:sz="4" w:space="0" w:color="4F062A" w:themeColor="text1"/>
        <w:right w:val="single" w:sz="4" w:space="0" w:color="4F062A" w:themeColor="text1"/>
        <w:insideH w:val="single" w:sz="4" w:space="0" w:color="4F062A" w:themeColor="text1"/>
        <w:insideV w:val="single" w:sz="4" w:space="0" w:color="4F062A"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FF6598"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4F062A"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B20D5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B20D5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FF0054" w:themeColor="accent1"/>
        <w:left w:val="single" w:sz="8" w:space="0" w:color="FF0054" w:themeColor="accent1"/>
        <w:bottom w:val="single" w:sz="8" w:space="0" w:color="FF0054" w:themeColor="accent1"/>
        <w:right w:val="single" w:sz="8" w:space="0" w:color="FF0054" w:themeColor="accent1"/>
      </w:tblBorders>
    </w:tblPr>
    <w:tblStylePr w:type="firstRow">
      <w:pPr>
        <w:spacing w:before="0" w:after="0" w:line="240" w:lineRule="auto"/>
      </w:pPr>
      <w:rPr>
        <w:b/>
        <w:bCs/>
        <w:color w:val="FFFFFF" w:themeColor="background1"/>
      </w:rPr>
      <w:tblPr/>
      <w:tcPr>
        <w:shd w:val="clear" w:color="auto" w:fill="FF0054" w:themeFill="accent1"/>
      </w:tcPr>
    </w:tblStylePr>
    <w:tblStylePr w:type="lastRow">
      <w:pPr>
        <w:spacing w:before="0" w:after="0" w:line="240" w:lineRule="auto"/>
      </w:pPr>
      <w:rPr>
        <w:b/>
        <w:bCs/>
      </w:rPr>
      <w:tblPr/>
      <w:tcPr>
        <w:tcBorders>
          <w:top w:val="double" w:sz="6" w:space="0" w:color="FF0054" w:themeColor="accent1"/>
          <w:left w:val="single" w:sz="8" w:space="0" w:color="FF0054" w:themeColor="accent1"/>
          <w:bottom w:val="single" w:sz="8" w:space="0" w:color="FF0054" w:themeColor="accent1"/>
          <w:right w:val="single" w:sz="8" w:space="0" w:color="FF0054" w:themeColor="accent1"/>
        </w:tcBorders>
      </w:tcPr>
    </w:tblStylePr>
    <w:tblStylePr w:type="firstCol">
      <w:rPr>
        <w:b/>
        <w:bCs/>
      </w:rPr>
    </w:tblStylePr>
    <w:tblStylePr w:type="lastCol">
      <w:rPr>
        <w:b/>
        <w:bCs/>
      </w:rPr>
    </w:tblStylePr>
    <w:tblStylePr w:type="band1Vert">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tblStylePr w:type="band1Horz">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A40037"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4F062A"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4F062A"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4F062A" w:themeColor="text1"/>
      <w:sz w:val="26"/>
      <w:szCs w:val="26"/>
      <w:lang w:eastAsia="es-ES"/>
    </w:rPr>
  </w:style>
  <w:style w:type="paragraph" w:styleId="NormalWeb">
    <w:name w:val="Normal (Web)"/>
    <w:basedOn w:val="Normal"/>
    <w:uiPriority w:val="99"/>
    <w:unhideWhenUsed/>
    <w:rsid w:val="002C5854"/>
    <w:pPr>
      <w:spacing w:before="100" w:beforeAutospacing="1" w:after="100" w:afterAutospacing="1"/>
      <w:jc w:val="left"/>
    </w:pPr>
    <w:rPr>
      <w:rFonts w:ascii="Times New Roman" w:hAnsi="Times New Roman"/>
      <w:color w:val="auto"/>
      <w:kern w:val="0"/>
      <w:sz w:val="24"/>
      <w:lang w:val="es-CO" w:eastAsia="es-CO"/>
    </w:rPr>
  </w:style>
  <w:style w:type="paragraph" w:styleId="Revision">
    <w:name w:val="Revision"/>
    <w:hidden/>
    <w:uiPriority w:val="99"/>
    <w:semiHidden/>
    <w:rsid w:val="004620FA"/>
    <w:pPr>
      <w:spacing w:after="0" w:line="240" w:lineRule="auto"/>
    </w:pPr>
    <w:rPr>
      <w:rFonts w:asciiTheme="majorHAnsi" w:eastAsia="Times New Roman" w:hAnsiTheme="majorHAnsi" w:cs="Times New Roman"/>
      <w:color w:val="4F062A" w:themeColor="text1"/>
      <w:kern w:val="28"/>
      <w:sz w:val="20"/>
      <w:szCs w:val="24"/>
    </w:rPr>
  </w:style>
  <w:style w:type="character" w:styleId="Strong">
    <w:name w:val="Strong"/>
    <w:basedOn w:val="DefaultParagraphFont"/>
    <w:uiPriority w:val="22"/>
    <w:qFormat/>
    <w:rsid w:val="00530DB5"/>
    <w:rPr>
      <w:b/>
      <w:bCs/>
    </w:rPr>
  </w:style>
  <w:style w:type="character" w:styleId="Emphasis">
    <w:name w:val="Emphasis"/>
    <w:basedOn w:val="DefaultParagraphFont"/>
    <w:uiPriority w:val="20"/>
    <w:qFormat/>
    <w:rsid w:val="00530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00869">
      <w:bodyDiv w:val="1"/>
      <w:marLeft w:val="0"/>
      <w:marRight w:val="0"/>
      <w:marTop w:val="0"/>
      <w:marBottom w:val="0"/>
      <w:divBdr>
        <w:top w:val="none" w:sz="0" w:space="0" w:color="auto"/>
        <w:left w:val="none" w:sz="0" w:space="0" w:color="auto"/>
        <w:bottom w:val="none" w:sz="0" w:space="0" w:color="auto"/>
        <w:right w:val="none" w:sz="0" w:space="0" w:color="auto"/>
      </w:divBdr>
    </w:div>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175199077">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35211937">
      <w:bodyDiv w:val="1"/>
      <w:marLeft w:val="0"/>
      <w:marRight w:val="0"/>
      <w:marTop w:val="0"/>
      <w:marBottom w:val="0"/>
      <w:divBdr>
        <w:top w:val="none" w:sz="0" w:space="0" w:color="auto"/>
        <w:left w:val="none" w:sz="0" w:space="0" w:color="auto"/>
        <w:bottom w:val="none" w:sz="0" w:space="0" w:color="auto"/>
        <w:right w:val="none" w:sz="0" w:space="0" w:color="auto"/>
      </w:divBdr>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270939439">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77704422">
      <w:bodyDiv w:val="1"/>
      <w:marLeft w:val="0"/>
      <w:marRight w:val="0"/>
      <w:marTop w:val="0"/>
      <w:marBottom w:val="0"/>
      <w:divBdr>
        <w:top w:val="none" w:sz="0" w:space="0" w:color="auto"/>
        <w:left w:val="none" w:sz="0" w:space="0" w:color="auto"/>
        <w:bottom w:val="none" w:sz="0" w:space="0" w:color="auto"/>
        <w:right w:val="none" w:sz="0" w:space="0" w:color="auto"/>
      </w:divBdr>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420758976">
      <w:bodyDiv w:val="1"/>
      <w:marLeft w:val="0"/>
      <w:marRight w:val="0"/>
      <w:marTop w:val="0"/>
      <w:marBottom w:val="0"/>
      <w:divBdr>
        <w:top w:val="none" w:sz="0" w:space="0" w:color="auto"/>
        <w:left w:val="none" w:sz="0" w:space="0" w:color="auto"/>
        <w:bottom w:val="none" w:sz="0" w:space="0" w:color="auto"/>
        <w:right w:val="none" w:sz="0" w:space="0" w:color="auto"/>
      </w:divBdr>
    </w:div>
    <w:div w:id="423379442">
      <w:bodyDiv w:val="1"/>
      <w:marLeft w:val="0"/>
      <w:marRight w:val="0"/>
      <w:marTop w:val="0"/>
      <w:marBottom w:val="0"/>
      <w:divBdr>
        <w:top w:val="none" w:sz="0" w:space="0" w:color="auto"/>
        <w:left w:val="none" w:sz="0" w:space="0" w:color="auto"/>
        <w:bottom w:val="none" w:sz="0" w:space="0" w:color="auto"/>
        <w:right w:val="none" w:sz="0" w:space="0" w:color="auto"/>
      </w:divBdr>
    </w:div>
    <w:div w:id="479662819">
      <w:bodyDiv w:val="1"/>
      <w:marLeft w:val="0"/>
      <w:marRight w:val="0"/>
      <w:marTop w:val="0"/>
      <w:marBottom w:val="0"/>
      <w:divBdr>
        <w:top w:val="none" w:sz="0" w:space="0" w:color="auto"/>
        <w:left w:val="none" w:sz="0" w:space="0" w:color="auto"/>
        <w:bottom w:val="none" w:sz="0" w:space="0" w:color="auto"/>
        <w:right w:val="none" w:sz="0" w:space="0" w:color="auto"/>
      </w:divBdr>
    </w:div>
    <w:div w:id="53893425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606274697">
      <w:bodyDiv w:val="1"/>
      <w:marLeft w:val="0"/>
      <w:marRight w:val="0"/>
      <w:marTop w:val="0"/>
      <w:marBottom w:val="0"/>
      <w:divBdr>
        <w:top w:val="none" w:sz="0" w:space="0" w:color="auto"/>
        <w:left w:val="none" w:sz="0" w:space="0" w:color="auto"/>
        <w:bottom w:val="none" w:sz="0" w:space="0" w:color="auto"/>
        <w:right w:val="none" w:sz="0" w:space="0" w:color="auto"/>
      </w:divBdr>
    </w:div>
    <w:div w:id="609779689">
      <w:bodyDiv w:val="1"/>
      <w:marLeft w:val="0"/>
      <w:marRight w:val="0"/>
      <w:marTop w:val="0"/>
      <w:marBottom w:val="0"/>
      <w:divBdr>
        <w:top w:val="none" w:sz="0" w:space="0" w:color="auto"/>
        <w:left w:val="none" w:sz="0" w:space="0" w:color="auto"/>
        <w:bottom w:val="none" w:sz="0" w:space="0" w:color="auto"/>
        <w:right w:val="none" w:sz="0" w:space="0" w:color="auto"/>
      </w:divBdr>
    </w:div>
    <w:div w:id="690226049">
      <w:bodyDiv w:val="1"/>
      <w:marLeft w:val="0"/>
      <w:marRight w:val="0"/>
      <w:marTop w:val="0"/>
      <w:marBottom w:val="0"/>
      <w:divBdr>
        <w:top w:val="none" w:sz="0" w:space="0" w:color="auto"/>
        <w:left w:val="none" w:sz="0" w:space="0" w:color="auto"/>
        <w:bottom w:val="none" w:sz="0" w:space="0" w:color="auto"/>
        <w:right w:val="none" w:sz="0" w:space="0" w:color="auto"/>
      </w:divBdr>
    </w:div>
    <w:div w:id="807820996">
      <w:bodyDiv w:val="1"/>
      <w:marLeft w:val="0"/>
      <w:marRight w:val="0"/>
      <w:marTop w:val="0"/>
      <w:marBottom w:val="0"/>
      <w:divBdr>
        <w:top w:val="none" w:sz="0" w:space="0" w:color="auto"/>
        <w:left w:val="none" w:sz="0" w:space="0" w:color="auto"/>
        <w:bottom w:val="none" w:sz="0" w:space="0" w:color="auto"/>
        <w:right w:val="none" w:sz="0" w:space="0" w:color="auto"/>
      </w:divBdr>
    </w:div>
    <w:div w:id="822696054">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253591150">
      <w:bodyDiv w:val="1"/>
      <w:marLeft w:val="0"/>
      <w:marRight w:val="0"/>
      <w:marTop w:val="0"/>
      <w:marBottom w:val="0"/>
      <w:divBdr>
        <w:top w:val="none" w:sz="0" w:space="0" w:color="auto"/>
        <w:left w:val="none" w:sz="0" w:space="0" w:color="auto"/>
        <w:bottom w:val="none" w:sz="0" w:space="0" w:color="auto"/>
        <w:right w:val="none" w:sz="0" w:space="0" w:color="auto"/>
      </w:divBdr>
    </w:div>
    <w:div w:id="1274746737">
      <w:bodyDiv w:val="1"/>
      <w:marLeft w:val="0"/>
      <w:marRight w:val="0"/>
      <w:marTop w:val="0"/>
      <w:marBottom w:val="0"/>
      <w:divBdr>
        <w:top w:val="none" w:sz="0" w:space="0" w:color="auto"/>
        <w:left w:val="none" w:sz="0" w:space="0" w:color="auto"/>
        <w:bottom w:val="none" w:sz="0" w:space="0" w:color="auto"/>
        <w:right w:val="none" w:sz="0" w:space="0" w:color="auto"/>
      </w:divBdr>
    </w:div>
    <w:div w:id="1427271092">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546478289">
      <w:bodyDiv w:val="1"/>
      <w:marLeft w:val="0"/>
      <w:marRight w:val="0"/>
      <w:marTop w:val="0"/>
      <w:marBottom w:val="0"/>
      <w:divBdr>
        <w:top w:val="none" w:sz="0" w:space="0" w:color="auto"/>
        <w:left w:val="none" w:sz="0" w:space="0" w:color="auto"/>
        <w:bottom w:val="none" w:sz="0" w:space="0" w:color="auto"/>
        <w:right w:val="none" w:sz="0" w:space="0" w:color="auto"/>
      </w:divBdr>
    </w:div>
    <w:div w:id="1650210355">
      <w:bodyDiv w:val="1"/>
      <w:marLeft w:val="0"/>
      <w:marRight w:val="0"/>
      <w:marTop w:val="0"/>
      <w:marBottom w:val="0"/>
      <w:divBdr>
        <w:top w:val="none" w:sz="0" w:space="0" w:color="auto"/>
        <w:left w:val="none" w:sz="0" w:space="0" w:color="auto"/>
        <w:bottom w:val="none" w:sz="0" w:space="0" w:color="auto"/>
        <w:right w:val="none" w:sz="0" w:space="0" w:color="auto"/>
      </w:divBdr>
    </w:div>
    <w:div w:id="1710955800">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20514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Minsait v10">
      <a:dk1>
        <a:srgbClr val="4F062A"/>
      </a:dk1>
      <a:lt1>
        <a:srgbClr val="FFFFFF"/>
      </a:lt1>
      <a:dk2>
        <a:srgbClr val="260717"/>
      </a:dk2>
      <a:lt2>
        <a:srgbClr val="E3E2DA"/>
      </a:lt2>
      <a:accent1>
        <a:srgbClr val="FF0054"/>
      </a:accent1>
      <a:accent2>
        <a:srgbClr val="44B757"/>
      </a:accent2>
      <a:accent3>
        <a:srgbClr val="8661F5"/>
      </a:accent3>
      <a:accent4>
        <a:srgbClr val="E56813"/>
      </a:accent4>
      <a:accent5>
        <a:srgbClr val="00B0BD"/>
      </a:accent5>
      <a:accent6>
        <a:srgbClr val="EF659D"/>
      </a:accent6>
      <a:hlink>
        <a:srgbClr val="FF6598"/>
      </a:hlink>
      <a:folHlink>
        <a:srgbClr val="A40037"/>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81E12C9006773C4DA1AB43EF18B47192" ma:contentTypeVersion="15" ma:contentTypeDescription="Crear nuevo documento." ma:contentTypeScope="" ma:versionID="5e265e8dc1aae45e00dcae5fd8f888f4">
  <xsd:schema xmlns:xsd="http://www.w3.org/2001/XMLSchema" xmlns:xs="http://www.w3.org/2001/XMLSchema" xmlns:p="http://schemas.microsoft.com/office/2006/metadata/properties" xmlns:ns2="d56147d3-71bb-4c5f-aa5f-5dde8e62ed1a" xmlns:ns3="b8180bc2-2945-443c-a445-4f4ef55966b0" targetNamespace="http://schemas.microsoft.com/office/2006/metadata/properties" ma:root="true" ma:fieldsID="a0e119e7751bb09f001a02df2ef46853" ns2:_="" ns3:_="">
    <xsd:import namespace="d56147d3-71bb-4c5f-aa5f-5dde8e62ed1a"/>
    <xsd:import namespace="b8180bc2-2945-443c-a445-4f4ef55966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Responsabl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147d3-71bb-4c5f-aa5f-5dde8e62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Responsable" ma:index="11" nillable="true" ma:displayName="Responsable" ma:description="Persona responsable del contenido." ma:format="Dropdown" ma:list="UserInfo" ma:SharePointGroup="0" ma:internalName="Responsa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6c8f4d1-0548-410f-82ab-424def43ff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180bc2-2945-443c-a445-4f4ef55966b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25c89acb-21dd-4f4f-9a51-7a93f4a686b4}" ma:internalName="TaxCatchAll" ma:showField="CatchAllData" ma:web="b8180bc2-2945-443c-a445-4f4ef5596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6147d3-71bb-4c5f-aa5f-5dde8e62ed1a">
      <Terms xmlns="http://schemas.microsoft.com/office/infopath/2007/PartnerControls"/>
    </lcf76f155ced4ddcb4097134ff3c332f>
    <Responsable xmlns="d56147d3-71bb-4c5f-aa5f-5dde8e62ed1a">
      <UserInfo>
        <DisplayName/>
        <AccountId xsi:nil="true"/>
        <AccountType/>
      </UserInfo>
    </Responsable>
    <TaxCatchAll xmlns="b8180bc2-2945-443c-a445-4f4ef55966b0" xsi:nil="true"/>
  </documentManagement>
</p:properties>
</file>

<file path=customXml/itemProps1.xml><?xml version="1.0" encoding="utf-8"?>
<ds:datastoreItem xmlns:ds="http://schemas.openxmlformats.org/officeDocument/2006/customXml" ds:itemID="{CD010BF0-B90A-4249-91B5-9FE37E4728C2}">
  <ds:schemaRefs>
    <ds:schemaRef ds:uri="http://schemas.microsoft.com/sharepoint/v3/contenttype/forms"/>
  </ds:schemaRefs>
</ds:datastoreItem>
</file>

<file path=customXml/itemProps2.xml><?xml version="1.0" encoding="utf-8"?>
<ds:datastoreItem xmlns:ds="http://schemas.openxmlformats.org/officeDocument/2006/customXml" ds:itemID="{80283074-BD1B-4424-AAAD-436DECC3E3EC}">
  <ds:schemaRefs>
    <ds:schemaRef ds:uri="http://schemas.openxmlformats.org/officeDocument/2006/bibliography"/>
  </ds:schemaRefs>
</ds:datastoreItem>
</file>

<file path=customXml/itemProps3.xml><?xml version="1.0" encoding="utf-8"?>
<ds:datastoreItem xmlns:ds="http://schemas.openxmlformats.org/officeDocument/2006/customXml" ds:itemID="{C10CA575-143E-4506-A347-6CF5D01B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147d3-71bb-4c5f-aa5f-5dde8e62ed1a"/>
    <ds:schemaRef ds:uri="b8180bc2-2945-443c-a445-4f4ef5596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36119-1522-41B3-9553-0338058E8495}">
  <ds:schemaRefs>
    <ds:schemaRef ds:uri="http://schemas.microsoft.com/office/2006/metadata/properties"/>
    <ds:schemaRef ds:uri="http://schemas.microsoft.com/office/infopath/2007/PartnerControls"/>
    <ds:schemaRef ds:uri="d56147d3-71bb-4c5f-aa5f-5dde8e62ed1a"/>
    <ds:schemaRef ds:uri="b8180bc2-2945-443c-a445-4f4ef55966b0"/>
  </ds:schemaRefs>
</ds:datastoreItem>
</file>

<file path=docMetadata/LabelInfo.xml><?xml version="1.0" encoding="utf-8"?>
<clbl:labelList xmlns:clbl="http://schemas.microsoft.com/office/2020/mipLabelMetadata">
  <clbl:label id="{7808e005-1489-4374-954b-d3b08f193920}" enabled="0" method="" siteId="{7808e005-1489-4374-954b-d3b08f19392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Sierra Castillo, Ricardo Alonso</dc:creator>
  <cp:lastModifiedBy>Gaby Medina</cp:lastModifiedBy>
  <cp:revision>2</cp:revision>
  <cp:lastPrinted>2018-09-06T10:10:00Z</cp:lastPrinted>
  <dcterms:created xsi:type="dcterms:W3CDTF">2025-07-10T16:41:00Z</dcterms:created>
  <dcterms:modified xsi:type="dcterms:W3CDTF">2025-07-10T16:41:00Z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0x01010081E12C9006773C4DA1AB43EF18B47192</vt:lpwstr>
  </property>
</Properties>
</file>